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9F" w:rsidRDefault="0033159F" w:rsidP="0033159F">
      <w:pPr>
        <w:tabs>
          <w:tab w:val="left" w:pos="360"/>
        </w:tabs>
        <w:rPr>
          <w:sz w:val="22"/>
        </w:rPr>
      </w:pPr>
      <w:r>
        <w:rPr>
          <w:b/>
          <w:sz w:val="22"/>
        </w:rPr>
        <w:t>A</w:t>
      </w:r>
      <w:r w:rsidRPr="005B4968">
        <w:rPr>
          <w:b/>
          <w:sz w:val="22"/>
        </w:rPr>
        <w:t>ssessment of student learning</w:t>
      </w:r>
      <w:r>
        <w:rPr>
          <w:b/>
          <w:sz w:val="22"/>
        </w:rPr>
        <w:t xml:space="preserve"> in</w:t>
      </w:r>
      <w:r w:rsidRPr="0033159F">
        <w:rPr>
          <w:b/>
          <w:sz w:val="22"/>
        </w:rPr>
        <w:t xml:space="preserve"> Math (B.A.) and Math with Teaching Certification</w:t>
      </w:r>
      <w:r>
        <w:rPr>
          <w:b/>
          <w:sz w:val="22"/>
        </w:rPr>
        <w:t xml:space="preserve"> (BA).</w:t>
      </w:r>
      <w:r>
        <w:rPr>
          <w:sz w:val="22"/>
        </w:rPr>
        <w:t xml:space="preserve"> </w:t>
      </w:r>
    </w:p>
    <w:p w:rsidR="0033159F" w:rsidRDefault="0046772A" w:rsidP="0033159F">
      <w:pPr>
        <w:tabs>
          <w:tab w:val="left" w:pos="36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33159F">
        <w:rPr>
          <w:sz w:val="22"/>
        </w:rPr>
        <w:t>Demonstrate how this revision impacts the assessment of student learning for the major.</w:t>
      </w:r>
    </w:p>
    <w:tbl>
      <w:tblPr>
        <w:tblStyle w:val="TableGrid"/>
        <w:tblW w:w="1512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980"/>
        <w:gridCol w:w="1980"/>
        <w:gridCol w:w="3420"/>
        <w:gridCol w:w="1620"/>
        <w:gridCol w:w="2520"/>
        <w:gridCol w:w="2340"/>
        <w:gridCol w:w="1260"/>
      </w:tblGrid>
      <w:tr w:rsidR="00FC1528" w:rsidRPr="00FC1528" w:rsidTr="00FC1528">
        <w:trPr>
          <w:tblHeader/>
        </w:trPr>
        <w:tc>
          <w:tcPr>
            <w:tcW w:w="1980" w:type="dxa"/>
            <w:tcBorders>
              <w:bottom w:val="single" w:sz="4" w:space="0" w:color="auto"/>
            </w:tcBorders>
          </w:tcPr>
          <w:p w:rsidR="00FC1528" w:rsidRPr="00FC1528" w:rsidRDefault="00FC1528" w:rsidP="00692BD9">
            <w:pPr>
              <w:tabs>
                <w:tab w:val="left" w:pos="360"/>
              </w:tabs>
              <w:rPr>
                <w:b/>
              </w:rPr>
            </w:pPr>
            <w:r w:rsidRPr="00FC1528">
              <w:rPr>
                <w:b/>
              </w:rPr>
              <w:t>ULOs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C1528" w:rsidRPr="00FC1528" w:rsidRDefault="00FC1528" w:rsidP="00692BD9">
            <w:pPr>
              <w:tabs>
                <w:tab w:val="left" w:pos="360"/>
              </w:tabs>
              <w:rPr>
                <w:b/>
              </w:rPr>
            </w:pPr>
            <w:r w:rsidRPr="00FC1528">
              <w:rPr>
                <w:b/>
              </w:rPr>
              <w:t>CWEOs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C1528" w:rsidRPr="00FC1528" w:rsidRDefault="00FC1528" w:rsidP="00692BD9">
            <w:pPr>
              <w:tabs>
                <w:tab w:val="left" w:pos="360"/>
              </w:tabs>
              <w:rPr>
                <w:b/>
              </w:rPr>
            </w:pPr>
            <w:r w:rsidRPr="00FC1528">
              <w:rPr>
                <w:b/>
              </w:rPr>
              <w:t xml:space="preserve">Student Learning Outcome / Objective </w:t>
            </w:r>
            <w:r w:rsidRPr="00FC1528">
              <w:t>(Students will demonstrate the ability to +[Bloom</w:t>
            </w:r>
            <w:r w:rsidRPr="00FC1528">
              <w:t>’</w:t>
            </w:r>
            <w:r w:rsidRPr="00FC1528">
              <w:t>s action verb]+ [something]</w:t>
            </w:r>
          </w:p>
          <w:p w:rsidR="00FC1528" w:rsidRPr="00FC1528" w:rsidRDefault="00FC1528" w:rsidP="00692BD9">
            <w:pPr>
              <w:tabs>
                <w:tab w:val="left" w:pos="360"/>
              </w:tabs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C1528" w:rsidRPr="00FC1528" w:rsidRDefault="00FC1528" w:rsidP="00692BD9">
            <w:pPr>
              <w:tabs>
                <w:tab w:val="left" w:pos="360"/>
              </w:tabs>
              <w:rPr>
                <w:b/>
              </w:rPr>
            </w:pPr>
            <w:r w:rsidRPr="00FC1528">
              <w:rPr>
                <w:b/>
              </w:rPr>
              <w:t xml:space="preserve">Courses </w:t>
            </w:r>
            <w:r w:rsidRPr="00FC1528">
              <w:t xml:space="preserve">in which </w:t>
            </w:r>
            <w:r w:rsidRPr="00FC1528">
              <w:rPr>
                <w:b/>
              </w:rPr>
              <w:t>students receive feedback</w:t>
            </w:r>
            <w:r w:rsidRPr="00FC1528">
              <w:t xml:space="preserve"> on this learning objective.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C1528" w:rsidRPr="00FC1528" w:rsidRDefault="00FC1528" w:rsidP="00692BD9">
            <w:pPr>
              <w:tabs>
                <w:tab w:val="left" w:pos="360"/>
              </w:tabs>
            </w:pPr>
            <w:r w:rsidRPr="00FC1528">
              <w:rPr>
                <w:b/>
              </w:rPr>
              <w:t>Measure</w:t>
            </w:r>
            <w:r w:rsidRPr="00FC1528">
              <w:t xml:space="preserve"> (Method to gauge achievement of expected results. A measure can relate to multiple outcomes)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C1528" w:rsidRPr="00FC1528" w:rsidRDefault="00FC1528" w:rsidP="00692BD9">
            <w:pPr>
              <w:tabs>
                <w:tab w:val="left" w:pos="360"/>
              </w:tabs>
            </w:pPr>
            <w:r w:rsidRPr="00FC1528">
              <w:rPr>
                <w:b/>
              </w:rPr>
              <w:t>Target</w:t>
            </w:r>
            <w:r w:rsidRPr="00FC1528">
              <w:t xml:space="preserve"> (Overall level for satisfactory performance on a Measure- Outcome/Objective combination.)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C1528" w:rsidRPr="00FC1528" w:rsidRDefault="00FC1528" w:rsidP="00692BD9">
            <w:pPr>
              <w:tabs>
                <w:tab w:val="left" w:pos="360"/>
              </w:tabs>
            </w:pPr>
            <w:r w:rsidRPr="00FC1528">
              <w:rPr>
                <w:b/>
              </w:rPr>
              <w:t xml:space="preserve">Timeline </w:t>
            </w:r>
            <w:r w:rsidRPr="00FC1528">
              <w:t>(How often will measure be collected?)</w:t>
            </w:r>
          </w:p>
        </w:tc>
      </w:tr>
      <w:tr w:rsidR="00FC1528" w:rsidRPr="00FC1528" w:rsidTr="00FC1528">
        <w:trPr>
          <w:cantSplit/>
          <w:trHeight w:val="2663"/>
        </w:trPr>
        <w:tc>
          <w:tcPr>
            <w:tcW w:w="1980" w:type="dxa"/>
          </w:tcPr>
          <w:p w:rsidR="00FC1528" w:rsidRPr="00FC1528" w:rsidRDefault="00FC1528" w:rsidP="00FC1528">
            <w:pPr>
              <w:rPr>
                <w:b/>
                <w:bCs/>
                <w:u w:val="single"/>
              </w:rPr>
            </w:pPr>
            <w:r w:rsidRPr="00FC1528">
              <w:rPr>
                <w:b/>
                <w:bCs/>
              </w:rPr>
              <w:t xml:space="preserve">2. Breadth and depth of knowledge </w:t>
            </w:r>
            <w:r w:rsidRPr="00FC1528">
              <w:rPr>
                <w:bCs/>
              </w:rPr>
              <w:t xml:space="preserve">Develop knowledge common to the liberal arts and sciences in the fields of arts, humanities, natural sciences, and social sciences. Students will also develop specialized </w:t>
            </w:r>
            <w:proofErr w:type="spellStart"/>
            <w:r w:rsidRPr="00FC1528">
              <w:rPr>
                <w:bCs/>
              </w:rPr>
              <w:t>nowledge</w:t>
            </w:r>
            <w:proofErr w:type="spellEnd"/>
            <w:r w:rsidRPr="00FC1528">
              <w:rPr>
                <w:bCs/>
              </w:rPr>
              <w:t xml:space="preserve"> and disciplinary expertise</w:t>
            </w:r>
          </w:p>
        </w:tc>
        <w:tc>
          <w:tcPr>
            <w:tcW w:w="1980" w:type="dxa"/>
          </w:tcPr>
          <w:p w:rsidR="00FC1528" w:rsidRPr="00FC1528" w:rsidRDefault="00FC1528" w:rsidP="00FC1528">
            <w:r w:rsidRPr="00FC1528">
              <w:rPr>
                <w:b/>
                <w:bCs/>
                <w:u w:val="single"/>
              </w:rPr>
              <w:t>4.1 Breadth and depth of knowledge:</w:t>
            </w:r>
            <w:r w:rsidRPr="00FC1528">
              <w:rPr>
                <w:b/>
                <w:bCs/>
              </w:rPr>
              <w:t xml:space="preserve"> </w:t>
            </w:r>
            <w:r w:rsidRPr="00FC1528">
              <w:t>Understanding the foundational content and philosophical assumptions of one</w:t>
            </w:r>
            <w:r w:rsidRPr="00FC1528">
              <w:t>’</w:t>
            </w:r>
            <w:r w:rsidRPr="00FC1528">
              <w:t>s specialized area of study</w:t>
            </w:r>
          </w:p>
        </w:tc>
        <w:tc>
          <w:tcPr>
            <w:tcW w:w="3420" w:type="dxa"/>
          </w:tcPr>
          <w:p w:rsidR="00FC1528" w:rsidRPr="00FC1528" w:rsidRDefault="00FC1528" w:rsidP="00FC1528">
            <w:pPr>
              <w:tabs>
                <w:tab w:val="left" w:pos="360"/>
              </w:tabs>
            </w:pPr>
            <w:r w:rsidRPr="00FC1528">
              <w:t>Graduates will demonstrate an understanding of the foundational content of mathematics.  Foundational content</w:t>
            </w:r>
            <w:r w:rsidRPr="00FC1528">
              <w:t>’</w:t>
            </w:r>
            <w:r w:rsidRPr="00FC1528">
              <w:t>, as outlined by published curriculum guidelines such as those of the Mathematical Association of America. Foundational proficiency includes completion of introductory courses in applied disciplines that are closely related to mathematics.</w:t>
            </w:r>
          </w:p>
        </w:tc>
        <w:tc>
          <w:tcPr>
            <w:tcW w:w="1620" w:type="dxa"/>
          </w:tcPr>
          <w:p w:rsidR="00FC1528" w:rsidRPr="00FC1528" w:rsidRDefault="00FC1528" w:rsidP="00FC1528">
            <w:pPr>
              <w:tabs>
                <w:tab w:val="left" w:pos="360"/>
              </w:tabs>
            </w:pPr>
            <w:r w:rsidRPr="00FC1528">
              <w:t>MATH 111, 112, 195, 211, 261, 301, 308, 341, 362, 382, 392, 405, 412, 490, 494, STAT 291, PHYS 211, 212, COSC 181</w:t>
            </w:r>
            <w:r w:rsidRPr="00FC1528">
              <w:t>  </w:t>
            </w:r>
          </w:p>
        </w:tc>
        <w:tc>
          <w:tcPr>
            <w:tcW w:w="2520" w:type="dxa"/>
          </w:tcPr>
          <w:p w:rsidR="00FC1528" w:rsidRPr="00FC1528" w:rsidRDefault="00FC1528" w:rsidP="00FC1528">
            <w:pPr>
              <w:tabs>
                <w:tab w:val="left" w:pos="360"/>
              </w:tabs>
            </w:pPr>
            <w:r w:rsidRPr="00FC1528">
              <w:t xml:space="preserve">Major Field Test </w:t>
            </w:r>
            <w:r w:rsidRPr="00FC1528">
              <w:t>–</w:t>
            </w:r>
            <w:r w:rsidRPr="00FC1528">
              <w:t xml:space="preserve"> ETS Mathematics Major Field test, taken by all mathematics seniors in the final month of the degree plan</w:t>
            </w:r>
          </w:p>
          <w:p w:rsidR="00FC1528" w:rsidRPr="00FC1528" w:rsidRDefault="00FC1528" w:rsidP="00FC1528">
            <w:pPr>
              <w:tabs>
                <w:tab w:val="left" w:pos="360"/>
              </w:tabs>
            </w:pPr>
          </w:p>
          <w:p w:rsidR="00FC1528" w:rsidRPr="00FC1528" w:rsidRDefault="00FC1528" w:rsidP="00FC1528">
            <w:pPr>
              <w:tabs>
                <w:tab w:val="left" w:pos="360"/>
              </w:tabs>
            </w:pPr>
          </w:p>
          <w:p w:rsidR="00FC1528" w:rsidRPr="00FC1528" w:rsidRDefault="00FC1528" w:rsidP="00FC1528">
            <w:pPr>
              <w:tabs>
                <w:tab w:val="left" w:pos="360"/>
              </w:tabs>
            </w:pPr>
          </w:p>
          <w:p w:rsidR="00FC1528" w:rsidRPr="00FC1528" w:rsidRDefault="00FC1528" w:rsidP="00FC1528">
            <w:pPr>
              <w:tabs>
                <w:tab w:val="left" w:pos="360"/>
              </w:tabs>
            </w:pPr>
          </w:p>
        </w:tc>
        <w:tc>
          <w:tcPr>
            <w:tcW w:w="2340" w:type="dxa"/>
          </w:tcPr>
          <w:p w:rsidR="00FC1528" w:rsidRPr="00FC1528" w:rsidRDefault="00FC1528" w:rsidP="00FC1528">
            <w:pPr>
              <w:tabs>
                <w:tab w:val="left" w:pos="360"/>
              </w:tabs>
            </w:pPr>
            <w:r w:rsidRPr="00FC1528">
              <w:t>In each 5 year cluster, IMS mathematics' student results will rank in the upper quartile among all institutions participating.</w:t>
            </w:r>
          </w:p>
          <w:p w:rsidR="00FC1528" w:rsidRPr="00FC1528" w:rsidRDefault="00FC1528" w:rsidP="00FC1528">
            <w:pPr>
              <w:tabs>
                <w:tab w:val="left" w:pos="360"/>
              </w:tabs>
            </w:pPr>
          </w:p>
          <w:p w:rsidR="00FC1528" w:rsidRPr="00FC1528" w:rsidRDefault="00FC1528" w:rsidP="00FC1528">
            <w:pPr>
              <w:tabs>
                <w:tab w:val="left" w:pos="360"/>
              </w:tabs>
            </w:pPr>
          </w:p>
          <w:p w:rsidR="00FC1528" w:rsidRPr="00FC1528" w:rsidRDefault="00FC1528" w:rsidP="00FC1528">
            <w:pPr>
              <w:tabs>
                <w:tab w:val="left" w:pos="360"/>
              </w:tabs>
            </w:pPr>
          </w:p>
        </w:tc>
        <w:tc>
          <w:tcPr>
            <w:tcW w:w="1260" w:type="dxa"/>
          </w:tcPr>
          <w:p w:rsidR="00FC1528" w:rsidRPr="00FC1528" w:rsidRDefault="00FC1528" w:rsidP="00FC1528">
            <w:pPr>
              <w:tabs>
                <w:tab w:val="left" w:pos="360"/>
              </w:tabs>
            </w:pPr>
            <w:r w:rsidRPr="00FC1528">
              <w:t>Assessed every 5 years</w:t>
            </w:r>
          </w:p>
          <w:p w:rsidR="00FC1528" w:rsidRPr="00FC1528" w:rsidRDefault="00FC1528" w:rsidP="00FC1528">
            <w:pPr>
              <w:tabs>
                <w:tab w:val="left" w:pos="360"/>
              </w:tabs>
            </w:pPr>
          </w:p>
          <w:p w:rsidR="00FC1528" w:rsidRPr="00FC1528" w:rsidRDefault="00FC1528" w:rsidP="00FC1528">
            <w:pPr>
              <w:tabs>
                <w:tab w:val="left" w:pos="360"/>
              </w:tabs>
            </w:pPr>
          </w:p>
          <w:p w:rsidR="00FC1528" w:rsidRPr="00FC1528" w:rsidRDefault="00FC1528" w:rsidP="00FC1528">
            <w:pPr>
              <w:tabs>
                <w:tab w:val="left" w:pos="360"/>
              </w:tabs>
              <w:rPr>
                <w:b/>
              </w:rPr>
            </w:pPr>
          </w:p>
        </w:tc>
      </w:tr>
      <w:tr w:rsidR="00FC1528" w:rsidRPr="00FC1528" w:rsidTr="00FC1528">
        <w:tc>
          <w:tcPr>
            <w:tcW w:w="1980" w:type="dxa"/>
          </w:tcPr>
          <w:p w:rsidR="00FC1528" w:rsidRPr="00FC1528" w:rsidRDefault="00FC1528" w:rsidP="00FC1528">
            <w:pPr>
              <w:rPr>
                <w:b/>
                <w:u w:val="single"/>
              </w:rPr>
            </w:pPr>
            <w:r w:rsidRPr="00FC1528">
              <w:rPr>
                <w:b/>
                <w:bCs/>
              </w:rPr>
              <w:t xml:space="preserve">4.2 Specialized scholarship. </w:t>
            </w:r>
            <w:r w:rsidRPr="00FC1528">
              <w:rPr>
                <w:bCs/>
              </w:rPr>
              <w:t>Become proficient in the scholarship of their discipline and demonstrate specialized skills needed to pursue a career and/or graduate school</w:t>
            </w:r>
          </w:p>
        </w:tc>
        <w:tc>
          <w:tcPr>
            <w:tcW w:w="1980" w:type="dxa"/>
          </w:tcPr>
          <w:p w:rsidR="00FC1528" w:rsidRPr="00FC1528" w:rsidRDefault="00FC1528" w:rsidP="00FC1528">
            <w:pPr>
              <w:tabs>
                <w:tab w:val="left" w:pos="-1080"/>
                <w:tab w:val="left" w:pos="-720"/>
                <w:tab w:val="left" w:pos="0"/>
                <w:tab w:val="decimal" w:pos="5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35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64" w:lineRule="auto"/>
            </w:pPr>
            <w:r w:rsidRPr="00FC1528">
              <w:rPr>
                <w:b/>
                <w:u w:val="single"/>
              </w:rPr>
              <w:t>4.2 Scholarship:</w:t>
            </w:r>
            <w:r w:rsidRPr="00FC1528">
              <w:rPr>
                <w:b/>
              </w:rPr>
              <w:t xml:space="preserve"> </w:t>
            </w:r>
            <w:r w:rsidRPr="00FC1528">
              <w:t>Engaging in scholarship in one</w:t>
            </w:r>
            <w:r w:rsidRPr="00FC1528">
              <w:t>’</w:t>
            </w:r>
            <w:r w:rsidRPr="00FC1528">
              <w:t>s specialized area of study</w:t>
            </w:r>
          </w:p>
          <w:p w:rsidR="00FC1528" w:rsidRPr="00FC1528" w:rsidRDefault="00FC1528" w:rsidP="00FC1528">
            <w:pPr>
              <w:tabs>
                <w:tab w:val="left" w:pos="360"/>
              </w:tabs>
            </w:pPr>
          </w:p>
        </w:tc>
        <w:tc>
          <w:tcPr>
            <w:tcW w:w="3420" w:type="dxa"/>
          </w:tcPr>
          <w:p w:rsidR="00FC1528" w:rsidRPr="00FC1528" w:rsidRDefault="00FC1528" w:rsidP="00FC1528">
            <w:pPr>
              <w:tabs>
                <w:tab w:val="left" w:pos="360"/>
              </w:tabs>
            </w:pPr>
            <w:r w:rsidRPr="00FC1528">
              <w:t xml:space="preserve">Graduates will engage in scholarship in mathematics, demonstrating the professional skills of independent problem-solving, self-directed research, and oral and written communication. The Department will provide the opportunity for scholarship activities in mathematics such as conference attendance and interdisciplinary </w:t>
            </w:r>
            <w:proofErr w:type="spellStart"/>
            <w:r w:rsidRPr="00FC1528">
              <w:t>Collaboratory</w:t>
            </w:r>
            <w:proofErr w:type="spellEnd"/>
            <w:r w:rsidRPr="00FC1528">
              <w:t xml:space="preserve"> projects and will encourage professional pursuits such as article submission, summer research, and internships.</w:t>
            </w:r>
          </w:p>
        </w:tc>
        <w:tc>
          <w:tcPr>
            <w:tcW w:w="1620" w:type="dxa"/>
          </w:tcPr>
          <w:p w:rsidR="00FC1528" w:rsidRPr="00FC1528" w:rsidRDefault="00FC1528" w:rsidP="00FC1528">
            <w:pPr>
              <w:tabs>
                <w:tab w:val="left" w:pos="360"/>
              </w:tabs>
            </w:pPr>
            <w:r w:rsidRPr="00FC1528">
              <w:t>MATH 195, 341, 392, 405, 490, 494</w:t>
            </w:r>
          </w:p>
        </w:tc>
        <w:tc>
          <w:tcPr>
            <w:tcW w:w="2520" w:type="dxa"/>
          </w:tcPr>
          <w:p w:rsidR="00FC1528" w:rsidRPr="00FC1528" w:rsidRDefault="00FC1528" w:rsidP="00FC1528">
            <w:pPr>
              <w:tabs>
                <w:tab w:val="left" w:pos="360"/>
              </w:tabs>
            </w:pPr>
            <w:r w:rsidRPr="00FC1528">
              <w:t>Once every 5 years, a sample of five randomly selected student final projects (paper, presentation, video recording) in MATH 494 will be judged by an external mathematics consultant, according to a rubric developed by the department that includes a 5-pt. scale for each of the four professional skills included in the objective (20 pts total).</w:t>
            </w:r>
          </w:p>
        </w:tc>
        <w:tc>
          <w:tcPr>
            <w:tcW w:w="2340" w:type="dxa"/>
          </w:tcPr>
          <w:p w:rsidR="00FC1528" w:rsidRPr="00FC1528" w:rsidRDefault="00FC1528" w:rsidP="00FC1528">
            <w:pPr>
              <w:tabs>
                <w:tab w:val="left" w:pos="360"/>
              </w:tabs>
            </w:pPr>
            <w:r w:rsidRPr="00FC1528">
              <w:t>For each professional quality (independent problem-solving, self-directed research, oral communication, and written communication</w:t>
            </w:r>
            <w:proofErr w:type="gramStart"/>
            <w:r w:rsidRPr="00FC1528">
              <w:t>)  at</w:t>
            </w:r>
            <w:proofErr w:type="gramEnd"/>
            <w:r w:rsidRPr="00FC1528">
              <w:t xml:space="preserve"> least two projects will be judged at the 4 or 5-pt. level and no more than one ranking of 1 or 2 </w:t>
            </w:r>
            <w:proofErr w:type="spellStart"/>
            <w:r w:rsidRPr="00FC1528">
              <w:t>pt</w:t>
            </w:r>
            <w:proofErr w:type="spellEnd"/>
            <w:r w:rsidRPr="00FC1528">
              <w:t xml:space="preserve"> will be received.</w:t>
            </w:r>
          </w:p>
        </w:tc>
        <w:tc>
          <w:tcPr>
            <w:tcW w:w="1260" w:type="dxa"/>
          </w:tcPr>
          <w:p w:rsidR="00FC1528" w:rsidRPr="00FC1528" w:rsidRDefault="00FC1528" w:rsidP="00FC1528">
            <w:pPr>
              <w:tabs>
                <w:tab w:val="left" w:pos="360"/>
              </w:tabs>
            </w:pPr>
            <w:r w:rsidRPr="00FC1528">
              <w:t>Every 5 years</w:t>
            </w:r>
          </w:p>
        </w:tc>
      </w:tr>
      <w:tr w:rsidR="0068425D" w:rsidRPr="00FC1528" w:rsidTr="00FC1528">
        <w:trPr>
          <w:trHeight w:val="3464"/>
        </w:trPr>
        <w:tc>
          <w:tcPr>
            <w:tcW w:w="1980" w:type="dxa"/>
          </w:tcPr>
          <w:p w:rsidR="0068425D" w:rsidRPr="00FC1528" w:rsidRDefault="0068425D" w:rsidP="0068425D">
            <w:pPr>
              <w:rPr>
                <w:b/>
                <w:bCs/>
              </w:rPr>
            </w:pPr>
            <w:r w:rsidRPr="00FC1528">
              <w:rPr>
                <w:b/>
                <w:bCs/>
              </w:rPr>
              <w:lastRenderedPageBreak/>
              <w:t xml:space="preserve">5. Self-Awareness </w:t>
            </w:r>
            <w:r w:rsidRPr="00FC1528">
              <w:rPr>
                <w:bCs/>
              </w:rPr>
              <w:t>Gain awareness of identity, character, and vocational calling</w:t>
            </w:r>
          </w:p>
        </w:tc>
        <w:tc>
          <w:tcPr>
            <w:tcW w:w="1980" w:type="dxa"/>
          </w:tcPr>
          <w:p w:rsidR="0068425D" w:rsidRPr="00FC1528" w:rsidRDefault="0068425D" w:rsidP="0068425D">
            <w:r w:rsidRPr="00FC1528">
              <w:rPr>
                <w:b/>
                <w:u w:val="single"/>
              </w:rPr>
              <w:t>4.4 Intrapersonal Awareness:</w:t>
            </w:r>
            <w:r w:rsidRPr="00FC1528">
              <w:rPr>
                <w:b/>
              </w:rPr>
              <w:t xml:space="preserve"> </w:t>
            </w:r>
            <w:r w:rsidRPr="00FC1528">
              <w:t>Gaining an awareness of options for employment, voluntary service, and/or graduate education in one</w:t>
            </w:r>
            <w:r w:rsidRPr="00FC1528">
              <w:t>’</w:t>
            </w:r>
            <w:r w:rsidRPr="00FC1528">
              <w:t>s specialized area of study</w:t>
            </w:r>
          </w:p>
        </w:tc>
        <w:tc>
          <w:tcPr>
            <w:tcW w:w="3420" w:type="dxa"/>
          </w:tcPr>
          <w:p w:rsidR="0068425D" w:rsidRPr="00FC1528" w:rsidRDefault="0068425D" w:rsidP="0068425D">
            <w:pPr>
              <w:tabs>
                <w:tab w:val="left" w:pos="360"/>
              </w:tabs>
            </w:pPr>
            <w:r w:rsidRPr="00FC1528">
              <w:t>Graduates will gain an awareness of options for employment, voluntary service and/or graduate education in mathematics or closely related fields.</w:t>
            </w:r>
            <w:bookmarkStart w:id="0" w:name="_GoBack"/>
            <w:bookmarkEnd w:id="0"/>
          </w:p>
        </w:tc>
        <w:tc>
          <w:tcPr>
            <w:tcW w:w="1620" w:type="dxa"/>
          </w:tcPr>
          <w:p w:rsidR="0068425D" w:rsidRPr="00FC1528" w:rsidRDefault="0068425D" w:rsidP="0068425D">
            <w:pPr>
              <w:tabs>
                <w:tab w:val="left" w:pos="360"/>
              </w:tabs>
            </w:pPr>
            <w:r w:rsidRPr="00FC1528">
              <w:t>MATH 195, 494</w:t>
            </w:r>
            <w:r w:rsidRPr="00FC1528">
              <w:t>  </w:t>
            </w:r>
          </w:p>
        </w:tc>
        <w:tc>
          <w:tcPr>
            <w:tcW w:w="2520" w:type="dxa"/>
          </w:tcPr>
          <w:p w:rsidR="0068425D" w:rsidRPr="00FC1528" w:rsidRDefault="0068425D" w:rsidP="0068425D">
            <w:pPr>
              <w:tabs>
                <w:tab w:val="left" w:pos="360"/>
              </w:tabs>
            </w:pPr>
            <w:r w:rsidRPr="00FC1528">
              <w:t xml:space="preserve">Students will complete assignments in both MATH 195 and MATH 494 related to vocational and educational options in mathematics and mathematics education. Once every 5 years,  the department will randomly select 5 graduates of the MATH/MATT major and analyze the quality of these assignments longitudinally, looking for evidence of </w:t>
            </w:r>
            <w:r w:rsidRPr="00FC1528">
              <w:rPr>
                <w:i/>
              </w:rPr>
              <w:t>gained awareness</w:t>
            </w:r>
            <w:r w:rsidRPr="00FC1528">
              <w:t>, according to a rubric written by the department.</w:t>
            </w:r>
          </w:p>
        </w:tc>
        <w:tc>
          <w:tcPr>
            <w:tcW w:w="2340" w:type="dxa"/>
          </w:tcPr>
          <w:p w:rsidR="0068425D" w:rsidRPr="00FC1528" w:rsidRDefault="0068425D" w:rsidP="0068425D">
            <w:pPr>
              <w:tabs>
                <w:tab w:val="left" w:pos="360"/>
              </w:tabs>
            </w:pPr>
            <w:r w:rsidRPr="00FC1528">
              <w:t>Among the 5 samples of student work selected, 4 or 5 will show evidence of at least satisfactory growth in understanding and awareness.</w:t>
            </w:r>
          </w:p>
        </w:tc>
        <w:tc>
          <w:tcPr>
            <w:tcW w:w="1260" w:type="dxa"/>
          </w:tcPr>
          <w:p w:rsidR="0068425D" w:rsidRPr="00FC1528" w:rsidRDefault="0068425D" w:rsidP="0068425D">
            <w:pPr>
              <w:tabs>
                <w:tab w:val="left" w:pos="360"/>
              </w:tabs>
            </w:pPr>
            <w:r w:rsidRPr="00FC1528">
              <w:t>Every 5 years</w:t>
            </w:r>
          </w:p>
        </w:tc>
      </w:tr>
      <w:tr w:rsidR="0068425D" w:rsidRPr="00FC1528" w:rsidTr="00FC1528">
        <w:tc>
          <w:tcPr>
            <w:tcW w:w="1980" w:type="dxa"/>
          </w:tcPr>
          <w:p w:rsidR="0068425D" w:rsidRPr="00FC1528" w:rsidRDefault="0068425D" w:rsidP="0068425D">
            <w:pPr>
              <w:rPr>
                <w:b/>
                <w:u w:val="single"/>
              </w:rPr>
            </w:pPr>
            <w:r w:rsidRPr="00FC1528">
              <w:rPr>
                <w:b/>
                <w:bCs/>
              </w:rPr>
              <w:t xml:space="preserve">3. Faith knowledge &amp; application </w:t>
            </w:r>
            <w:r w:rsidRPr="00FC1528">
              <w:rPr>
                <w:bCs/>
              </w:rPr>
              <w:t>Develop informed and mature convictions about Christian faith and practice</w:t>
            </w:r>
          </w:p>
        </w:tc>
        <w:tc>
          <w:tcPr>
            <w:tcW w:w="1980" w:type="dxa"/>
          </w:tcPr>
          <w:p w:rsidR="0068425D" w:rsidRPr="00FC1528" w:rsidRDefault="0068425D" w:rsidP="0068425D">
            <w:r w:rsidRPr="00FC1528">
              <w:rPr>
                <w:b/>
                <w:u w:val="single"/>
              </w:rPr>
              <w:t>4.5 Faith knowledge &amp; application:</w:t>
            </w:r>
            <w:r w:rsidRPr="00FC1528">
              <w:rPr>
                <w:b/>
              </w:rPr>
              <w:t xml:space="preserve"> </w:t>
            </w:r>
            <w:r w:rsidRPr="00FC1528">
              <w:t>Articulating how faith connects to one</w:t>
            </w:r>
            <w:r w:rsidRPr="00FC1528">
              <w:t>’</w:t>
            </w:r>
            <w:r w:rsidRPr="00FC1528">
              <w:t>s specialized area of study and to potential career options in that area of study</w:t>
            </w:r>
          </w:p>
        </w:tc>
        <w:tc>
          <w:tcPr>
            <w:tcW w:w="3420" w:type="dxa"/>
          </w:tcPr>
          <w:p w:rsidR="0068425D" w:rsidRPr="00FC1528" w:rsidRDefault="0068425D" w:rsidP="0068425D">
            <w:pPr>
              <w:tabs>
                <w:tab w:val="left" w:pos="360"/>
              </w:tabs>
            </w:pPr>
            <w:r w:rsidRPr="00FC1528">
              <w:t>Graduates will articulate a maturing understanding of how faith connects to mathematics and how the biblical call to vocation relates to potential career options in mathematical sciences.</w:t>
            </w:r>
          </w:p>
        </w:tc>
        <w:tc>
          <w:tcPr>
            <w:tcW w:w="1620" w:type="dxa"/>
          </w:tcPr>
          <w:p w:rsidR="0068425D" w:rsidRPr="00FC1528" w:rsidRDefault="0068425D" w:rsidP="0068425D">
            <w:pPr>
              <w:tabs>
                <w:tab w:val="left" w:pos="360"/>
              </w:tabs>
            </w:pPr>
            <w:r w:rsidRPr="00FC1528">
              <w:t>MATH 195, 494</w:t>
            </w:r>
          </w:p>
        </w:tc>
        <w:tc>
          <w:tcPr>
            <w:tcW w:w="2520" w:type="dxa"/>
          </w:tcPr>
          <w:p w:rsidR="0068425D" w:rsidRPr="00FC1528" w:rsidRDefault="0068425D" w:rsidP="0068425D">
            <w:pPr>
              <w:tabs>
                <w:tab w:val="left" w:pos="360"/>
              </w:tabs>
            </w:pPr>
            <w:r w:rsidRPr="00FC1528">
              <w:t>(Same measure as above row; likely the same assignments)</w:t>
            </w:r>
          </w:p>
        </w:tc>
        <w:tc>
          <w:tcPr>
            <w:tcW w:w="2340" w:type="dxa"/>
          </w:tcPr>
          <w:p w:rsidR="0068425D" w:rsidRPr="00FC1528" w:rsidRDefault="0068425D" w:rsidP="0068425D">
            <w:pPr>
              <w:tabs>
                <w:tab w:val="left" w:pos="360"/>
              </w:tabs>
            </w:pPr>
            <w:r w:rsidRPr="00FC1528">
              <w:t>(See above)</w:t>
            </w:r>
          </w:p>
        </w:tc>
        <w:tc>
          <w:tcPr>
            <w:tcW w:w="1260" w:type="dxa"/>
          </w:tcPr>
          <w:p w:rsidR="0068425D" w:rsidRPr="00FC1528" w:rsidRDefault="0068425D" w:rsidP="0068425D">
            <w:pPr>
              <w:tabs>
                <w:tab w:val="left" w:pos="360"/>
              </w:tabs>
            </w:pPr>
            <w:r w:rsidRPr="00FC1528">
              <w:t>Every 5 years</w:t>
            </w:r>
          </w:p>
        </w:tc>
      </w:tr>
      <w:tr w:rsidR="0068425D" w:rsidRPr="00FC1528" w:rsidTr="00FC1528">
        <w:tc>
          <w:tcPr>
            <w:tcW w:w="1980" w:type="dxa"/>
          </w:tcPr>
          <w:p w:rsidR="0068425D" w:rsidRPr="00FC1528" w:rsidRDefault="0068425D" w:rsidP="0068425D">
            <w:pPr>
              <w:rPr>
                <w:b/>
                <w:u w:val="single"/>
              </w:rPr>
            </w:pPr>
            <w:r w:rsidRPr="00FC1528">
              <w:rPr>
                <w:b/>
                <w:bCs/>
              </w:rPr>
              <w:t xml:space="preserve">4.3 Specialized skills </w:t>
            </w:r>
            <w:r w:rsidRPr="00FC1528">
              <w:rPr>
                <w:bCs/>
              </w:rPr>
              <w:t xml:space="preserve">Become proficient in the scholarship of their discipline and demonstrate specialized skills needed to pursue a career and/or </w:t>
            </w:r>
            <w:r w:rsidRPr="00FC1528">
              <w:rPr>
                <w:bCs/>
              </w:rPr>
              <w:lastRenderedPageBreak/>
              <w:t>graduate school</w:t>
            </w:r>
          </w:p>
        </w:tc>
        <w:tc>
          <w:tcPr>
            <w:tcW w:w="1980" w:type="dxa"/>
          </w:tcPr>
          <w:p w:rsidR="0068425D" w:rsidRPr="00FC1528" w:rsidRDefault="0068425D" w:rsidP="0068425D">
            <w:r w:rsidRPr="00FC1528">
              <w:rPr>
                <w:b/>
                <w:u w:val="single"/>
              </w:rPr>
              <w:lastRenderedPageBreak/>
              <w:t>4.3 Specialized skills:</w:t>
            </w:r>
            <w:r w:rsidRPr="00FC1528">
              <w:rPr>
                <w:b/>
              </w:rPr>
              <w:t xml:space="preserve"> </w:t>
            </w:r>
            <w:r w:rsidRPr="00FC1528">
              <w:t>Developing proficiency in one</w:t>
            </w:r>
            <w:r w:rsidRPr="00FC1528">
              <w:t>’</w:t>
            </w:r>
            <w:r w:rsidRPr="00FC1528">
              <w:t xml:space="preserve">s specialized area of study sufficient to pursue a career and/or continue education at the </w:t>
            </w:r>
            <w:r w:rsidRPr="00FC1528">
              <w:lastRenderedPageBreak/>
              <w:t>graduate level</w:t>
            </w:r>
          </w:p>
        </w:tc>
        <w:tc>
          <w:tcPr>
            <w:tcW w:w="3420" w:type="dxa"/>
          </w:tcPr>
          <w:p w:rsidR="0068425D" w:rsidRPr="00FC1528" w:rsidRDefault="0068425D" w:rsidP="0068425D">
            <w:pPr>
              <w:tabs>
                <w:tab w:val="left" w:pos="360"/>
              </w:tabs>
            </w:pPr>
            <w:r w:rsidRPr="00FC1528">
              <w:lastRenderedPageBreak/>
              <w:t>Graduates will demonstrate sufficient skills to use technology to enhance understanding and simplify computation and to present work professionally with technology.</w:t>
            </w:r>
          </w:p>
        </w:tc>
        <w:tc>
          <w:tcPr>
            <w:tcW w:w="1620" w:type="dxa"/>
          </w:tcPr>
          <w:p w:rsidR="0068425D" w:rsidRPr="00FC1528" w:rsidRDefault="0068425D" w:rsidP="0068425D">
            <w:pPr>
              <w:tabs>
                <w:tab w:val="left" w:pos="360"/>
              </w:tabs>
            </w:pPr>
            <w:r w:rsidRPr="00FC1528">
              <w:t>MATH 111, 112, 211, 308, 341, 382, STAT 291, 324, 325, 326, PHYS 211/212</w:t>
            </w:r>
          </w:p>
        </w:tc>
        <w:tc>
          <w:tcPr>
            <w:tcW w:w="2520" w:type="dxa"/>
          </w:tcPr>
          <w:p w:rsidR="0068425D" w:rsidRPr="00FC1528" w:rsidRDefault="0068425D" w:rsidP="0068425D">
            <w:pPr>
              <w:tabs>
                <w:tab w:val="left" w:pos="360"/>
              </w:tabs>
            </w:pPr>
            <w:r w:rsidRPr="00FC1528">
              <w:t>Samples of student work in courses using different technologies</w:t>
            </w:r>
          </w:p>
        </w:tc>
        <w:tc>
          <w:tcPr>
            <w:tcW w:w="2340" w:type="dxa"/>
          </w:tcPr>
          <w:p w:rsidR="0068425D" w:rsidRPr="00FC1528" w:rsidRDefault="0068425D" w:rsidP="0068425D">
            <w:pPr>
              <w:tabs>
                <w:tab w:val="left" w:pos="360"/>
              </w:tabs>
            </w:pPr>
            <w:r w:rsidRPr="00FC1528">
              <w:t xml:space="preserve">In each measurement cycle, samples of both basic and advanced use of at least three technological tools will be identified, representing work from at least four different courses.  </w:t>
            </w:r>
          </w:p>
        </w:tc>
        <w:tc>
          <w:tcPr>
            <w:tcW w:w="1260" w:type="dxa"/>
          </w:tcPr>
          <w:p w:rsidR="0068425D" w:rsidRPr="00FC1528" w:rsidRDefault="0068425D" w:rsidP="0068425D">
            <w:pPr>
              <w:tabs>
                <w:tab w:val="left" w:pos="360"/>
              </w:tabs>
            </w:pPr>
          </w:p>
        </w:tc>
      </w:tr>
    </w:tbl>
    <w:p w:rsidR="00192CE0" w:rsidRDefault="00192CE0"/>
    <w:sectPr w:rsidR="00192CE0" w:rsidSect="003315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□□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9F"/>
    <w:rsid w:val="00192CE0"/>
    <w:rsid w:val="0033159F"/>
    <w:rsid w:val="0046772A"/>
    <w:rsid w:val="0068425D"/>
    <w:rsid w:val="00745E07"/>
    <w:rsid w:val="00FC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AD660D-47F3-40DD-A6B1-B72F17B9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3159F"/>
    <w:pPr>
      <w:widowControl w:val="0"/>
      <w:wordWrap w:val="0"/>
      <w:autoSpaceDE w:val="0"/>
      <w:autoSpaceDN w:val="0"/>
      <w:spacing w:line="240" w:lineRule="auto"/>
      <w:jc w:val="both"/>
    </w:pPr>
    <w:rPr>
      <w:rFonts w:ascii="□□" w:eastAsia="□□" w:hAnsi="Times New Roman" w:cs="Times New Roman"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159F"/>
    <w:pPr>
      <w:spacing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WorkProv</dc:creator>
  <cp:lastModifiedBy>Work Study - Provost</cp:lastModifiedBy>
  <cp:revision>5</cp:revision>
  <dcterms:created xsi:type="dcterms:W3CDTF">2016-02-15T13:40:00Z</dcterms:created>
  <dcterms:modified xsi:type="dcterms:W3CDTF">2017-10-05T20:41:00Z</dcterms:modified>
</cp:coreProperties>
</file>