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A3" w:rsidRPr="003402B5" w:rsidRDefault="00E862A3" w:rsidP="00E862A3">
      <w:pPr>
        <w:pStyle w:val="NormalWeb"/>
        <w:spacing w:before="0" w:beforeAutospacing="0" w:after="0" w:afterAutospacing="0"/>
        <w:jc w:val="center"/>
        <w:rPr>
          <w:rFonts w:ascii="Cambria" w:hAnsi="Cambria"/>
          <w:b/>
          <w:sz w:val="22"/>
        </w:rPr>
      </w:pPr>
      <w:r w:rsidRPr="003402B5">
        <w:rPr>
          <w:rFonts w:ascii="Cambria" w:hAnsi="Cambria"/>
          <w:b/>
          <w:sz w:val="22"/>
        </w:rPr>
        <w:t>School of Graduate Studies</w:t>
      </w:r>
    </w:p>
    <w:p w:rsidR="00E862A3" w:rsidRPr="003402B5" w:rsidRDefault="00E862A3" w:rsidP="00E862A3">
      <w:pPr>
        <w:pStyle w:val="NormalWeb"/>
        <w:spacing w:before="0" w:beforeAutospacing="0" w:after="0" w:afterAutospacing="0"/>
        <w:jc w:val="center"/>
        <w:rPr>
          <w:rFonts w:ascii="Cambria" w:hAnsi="Cambria"/>
          <w:b/>
          <w:sz w:val="22"/>
        </w:rPr>
      </w:pPr>
      <w:r w:rsidRPr="003402B5">
        <w:rPr>
          <w:rFonts w:ascii="Cambria" w:hAnsi="Cambria"/>
          <w:b/>
          <w:sz w:val="22"/>
        </w:rPr>
        <w:t>Christian Scholarship and the Academic Vocation</w:t>
      </w:r>
    </w:p>
    <w:p w:rsidR="00E862A3" w:rsidRPr="003402B5" w:rsidRDefault="00E862A3" w:rsidP="00E862A3">
      <w:pPr>
        <w:pStyle w:val="NormalWeb"/>
        <w:spacing w:before="0" w:beforeAutospacing="0" w:after="0" w:afterAutospacing="0"/>
        <w:jc w:val="center"/>
        <w:rPr>
          <w:rFonts w:ascii="Cambria" w:hAnsi="Cambria"/>
          <w:b/>
          <w:sz w:val="22"/>
        </w:rPr>
      </w:pPr>
      <w:r w:rsidRPr="003402B5">
        <w:rPr>
          <w:rFonts w:ascii="Cambria" w:hAnsi="Cambria"/>
          <w:b/>
          <w:sz w:val="22"/>
        </w:rPr>
        <w:t>Term-Tenure and Promotion Readings and Prompts</w:t>
      </w:r>
    </w:p>
    <w:p w:rsidR="00E862A3" w:rsidRPr="003402B5" w:rsidRDefault="00E862A3" w:rsidP="00E862A3">
      <w:pPr>
        <w:pStyle w:val="NormalWeb"/>
        <w:spacing w:before="0" w:beforeAutospacing="0" w:after="0" w:afterAutospacing="0"/>
        <w:jc w:val="center"/>
        <w:rPr>
          <w:rFonts w:ascii="Cambria" w:hAnsi="Cambria"/>
          <w:i/>
          <w:sz w:val="22"/>
        </w:rPr>
      </w:pPr>
      <w:r w:rsidRPr="003402B5">
        <w:rPr>
          <w:rFonts w:ascii="Cambria" w:hAnsi="Cambria"/>
          <w:i/>
          <w:sz w:val="22"/>
        </w:rPr>
        <w:t>Approved by Graduate Council March 2017</w:t>
      </w:r>
    </w:p>
    <w:p w:rsidR="00E862A3" w:rsidRPr="003402B5" w:rsidRDefault="00E862A3" w:rsidP="00E862A3">
      <w:pPr>
        <w:pStyle w:val="NormalWeb"/>
        <w:spacing w:before="0" w:beforeAutospacing="0" w:after="0" w:afterAutospacing="0"/>
        <w:jc w:val="center"/>
        <w:rPr>
          <w:rFonts w:ascii="Cambria" w:hAnsi="Cambria"/>
          <w:i/>
          <w:sz w:val="22"/>
        </w:rPr>
      </w:pPr>
      <w:r w:rsidRPr="003402B5">
        <w:rPr>
          <w:rFonts w:ascii="Cambria" w:hAnsi="Cambria"/>
          <w:i/>
          <w:sz w:val="22"/>
        </w:rPr>
        <w:t>Reviewed by Office of the Provost April 2019</w:t>
      </w:r>
    </w:p>
    <w:p w:rsidR="00E862A3" w:rsidRPr="003402B5" w:rsidRDefault="00E862A3" w:rsidP="00E862A3">
      <w:pPr>
        <w:pStyle w:val="NormalWeb"/>
        <w:spacing w:before="0" w:beforeAutospacing="0" w:after="0" w:afterAutospacing="0"/>
        <w:jc w:val="center"/>
        <w:rPr>
          <w:rFonts w:ascii="Cambria" w:hAnsi="Cambria"/>
          <w:i/>
          <w:sz w:val="22"/>
        </w:rPr>
      </w:pPr>
      <w:r w:rsidRPr="003402B5">
        <w:rPr>
          <w:rFonts w:ascii="Cambria" w:hAnsi="Cambria"/>
          <w:i/>
          <w:sz w:val="22"/>
        </w:rPr>
        <w:t>Finalized by Dean of the Graduate School June 2019</w:t>
      </w:r>
    </w:p>
    <w:p w:rsidR="00E862A3" w:rsidRPr="007F7541" w:rsidRDefault="00E862A3" w:rsidP="00E862A3">
      <w:pPr>
        <w:pStyle w:val="NormalWeb"/>
        <w:spacing w:before="0" w:beforeAutospacing="0" w:after="0" w:afterAutospacing="0"/>
        <w:rPr>
          <w:rFonts w:ascii="Cambria" w:hAnsi="Cambria"/>
          <w:i/>
        </w:rPr>
      </w:pPr>
    </w:p>
    <w:p w:rsidR="00E862A3" w:rsidRPr="007F7541" w:rsidRDefault="00E862A3" w:rsidP="00E862A3">
      <w:pPr>
        <w:pStyle w:val="NormalWeb"/>
        <w:spacing w:before="0" w:beforeAutospacing="0"/>
        <w:rPr>
          <w:rFonts w:ascii="Cambria" w:hAnsi="Cambria"/>
          <w:b/>
          <w:sz w:val="22"/>
        </w:rPr>
      </w:pPr>
      <w:r w:rsidRPr="007F7541">
        <w:rPr>
          <w:rFonts w:ascii="Cambria" w:hAnsi="Cambria"/>
          <w:b/>
          <w:sz w:val="22"/>
        </w:rPr>
        <w:t>Part One Readings:</w:t>
      </w:r>
    </w:p>
    <w:p w:rsidR="00E862A3" w:rsidRPr="007F7541" w:rsidRDefault="00E862A3" w:rsidP="00E862A3">
      <w:pPr>
        <w:pStyle w:val="NormalWeb"/>
        <w:spacing w:after="0" w:afterAutospacing="0"/>
        <w:rPr>
          <w:rFonts w:ascii="Cambria" w:hAnsi="Cambria"/>
          <w:sz w:val="22"/>
        </w:rPr>
      </w:pPr>
      <w:r w:rsidRPr="007F7541">
        <w:rPr>
          <w:rFonts w:ascii="Cambria" w:hAnsi="Cambria"/>
          <w:sz w:val="22"/>
        </w:rPr>
        <w:t xml:space="preserve">N.T. Wright (2006). Simply Christian: Why Christianity Makes Sense. New York; NY: </w:t>
      </w:r>
      <w:proofErr w:type="spellStart"/>
      <w:r w:rsidRPr="007F7541">
        <w:rPr>
          <w:rFonts w:ascii="Cambria" w:hAnsi="Cambria"/>
          <w:sz w:val="22"/>
        </w:rPr>
        <w:t>HarperOne</w:t>
      </w:r>
      <w:proofErr w:type="spellEnd"/>
      <w:r w:rsidRPr="007F7541">
        <w:rPr>
          <w:rFonts w:ascii="Cambria" w:hAnsi="Cambria"/>
          <w:sz w:val="22"/>
        </w:rPr>
        <w:t xml:space="preserve">. </w:t>
      </w:r>
    </w:p>
    <w:p w:rsidR="00E862A3" w:rsidRPr="007F7541" w:rsidRDefault="00E862A3" w:rsidP="00E862A3">
      <w:pPr>
        <w:pStyle w:val="NormalWeb"/>
        <w:spacing w:before="0" w:beforeAutospacing="0"/>
        <w:ind w:left="720"/>
        <w:rPr>
          <w:rFonts w:ascii="Cambria" w:hAnsi="Cambria"/>
          <w:sz w:val="22"/>
        </w:rPr>
      </w:pPr>
      <w:r w:rsidRPr="007F7541">
        <w:rPr>
          <w:rFonts w:ascii="Cambria" w:hAnsi="Cambria"/>
          <w:sz w:val="22"/>
        </w:rPr>
        <w:t xml:space="preserve">R.W. McEwen, W. R. Herman &amp; B. M. Himes (2016) Cultivating Hope Through Learning for the Common Good, Christian Higher Education, 15:5, 307-319, DOI: 10.1080/15363759.2016.1211038. </w:t>
      </w:r>
    </w:p>
    <w:p w:rsidR="00E862A3" w:rsidRPr="007F7541" w:rsidRDefault="00E862A3" w:rsidP="00E862A3">
      <w:pPr>
        <w:pStyle w:val="NormalWeb"/>
        <w:rPr>
          <w:rFonts w:ascii="Cambria" w:hAnsi="Cambria"/>
          <w:b/>
        </w:rPr>
      </w:pPr>
      <w:r w:rsidRPr="007F7541">
        <w:rPr>
          <w:rFonts w:ascii="Cambria" w:hAnsi="Cambria"/>
          <w:b/>
        </w:rPr>
        <w:t>Part One Prompt:</w:t>
      </w:r>
    </w:p>
    <w:p w:rsidR="00E862A3" w:rsidRPr="007F7541" w:rsidRDefault="00E862A3" w:rsidP="00E862A3">
      <w:pPr>
        <w:pStyle w:val="NormalWeb"/>
        <w:rPr>
          <w:rFonts w:ascii="Cambria" w:hAnsi="Cambria"/>
        </w:rPr>
      </w:pPr>
      <w:r w:rsidRPr="007F7541">
        <w:rPr>
          <w:rFonts w:ascii="Cambria" w:hAnsi="Cambria"/>
        </w:rPr>
        <w:t xml:space="preserve">N.T. Wright asserts that the human longing for justice, quest for spirituality, hunger for relationships, and delight in beauty, are four “echoes” of God’s voice in the world. He also suggests these echoes can guide Christians in their “work of making God’s future real in the present” (p. 124). Consider Wright’s argument and make a case for one specific way that your academic work contributes to making the world more faithful to God’s vision. You are expected to engage the above readings in your response and are encouraged to engage and cite additional academic sources that support your point of view. </w:t>
      </w:r>
    </w:p>
    <w:p w:rsidR="00E862A3" w:rsidRPr="007F7541" w:rsidRDefault="00E862A3" w:rsidP="00E862A3">
      <w:pPr>
        <w:pStyle w:val="NormalWeb"/>
        <w:rPr>
          <w:rFonts w:ascii="Cambria" w:hAnsi="Cambria"/>
        </w:rPr>
      </w:pPr>
    </w:p>
    <w:p w:rsidR="00E862A3" w:rsidRPr="007F7541" w:rsidRDefault="00E862A3" w:rsidP="00E862A3">
      <w:pPr>
        <w:pStyle w:val="NormalWeb"/>
        <w:rPr>
          <w:rFonts w:ascii="Cambria" w:hAnsi="Cambria"/>
          <w:b/>
          <w:sz w:val="22"/>
        </w:rPr>
      </w:pPr>
      <w:r w:rsidRPr="007F7541">
        <w:rPr>
          <w:rFonts w:ascii="Cambria" w:hAnsi="Cambria"/>
          <w:b/>
          <w:sz w:val="22"/>
        </w:rPr>
        <w:t>Part Two Readings:</w:t>
      </w:r>
    </w:p>
    <w:p w:rsidR="00E862A3" w:rsidRPr="007F7541" w:rsidRDefault="00E862A3" w:rsidP="00E862A3">
      <w:pPr>
        <w:pStyle w:val="NormalWeb"/>
        <w:spacing w:after="0" w:afterAutospacing="0"/>
        <w:rPr>
          <w:rFonts w:ascii="Cambria" w:hAnsi="Cambria"/>
          <w:sz w:val="22"/>
        </w:rPr>
      </w:pPr>
      <w:r w:rsidRPr="007F7541">
        <w:rPr>
          <w:rFonts w:ascii="Cambria" w:hAnsi="Cambria"/>
          <w:sz w:val="22"/>
        </w:rPr>
        <w:t xml:space="preserve">P. Allen &amp; K. Bradley (2014). Faith and Learning: A Guide for Faculty. Abilene, TX: Abilene Christian </w:t>
      </w:r>
    </w:p>
    <w:p w:rsidR="00E862A3" w:rsidRPr="007F7541" w:rsidRDefault="00E862A3" w:rsidP="00E862A3">
      <w:pPr>
        <w:pStyle w:val="NormalWeb"/>
        <w:spacing w:before="0" w:beforeAutospacing="0"/>
        <w:rPr>
          <w:rFonts w:ascii="Cambria" w:hAnsi="Cambria"/>
          <w:sz w:val="22"/>
        </w:rPr>
      </w:pPr>
      <w:r w:rsidRPr="007F7541">
        <w:rPr>
          <w:rFonts w:ascii="Cambria" w:hAnsi="Cambria"/>
          <w:sz w:val="22"/>
        </w:rPr>
        <w:tab/>
        <w:t xml:space="preserve">University Press. (Chapters 4-7) </w:t>
      </w:r>
    </w:p>
    <w:p w:rsidR="00E862A3" w:rsidRPr="007F7541" w:rsidRDefault="00E862A3" w:rsidP="00E862A3">
      <w:pPr>
        <w:pStyle w:val="NormalWeb"/>
        <w:spacing w:after="0" w:afterAutospacing="0"/>
        <w:rPr>
          <w:rFonts w:ascii="Cambria" w:hAnsi="Cambria"/>
          <w:sz w:val="22"/>
        </w:rPr>
      </w:pPr>
      <w:proofErr w:type="spellStart"/>
      <w:r w:rsidRPr="007F7541">
        <w:rPr>
          <w:rFonts w:ascii="Cambria" w:hAnsi="Cambria"/>
          <w:sz w:val="22"/>
        </w:rPr>
        <w:t>VanZanten</w:t>
      </w:r>
      <w:proofErr w:type="spellEnd"/>
      <w:r w:rsidRPr="007F7541">
        <w:rPr>
          <w:rFonts w:ascii="Cambria" w:hAnsi="Cambria"/>
          <w:sz w:val="22"/>
        </w:rPr>
        <w:t>, S. (2011). How outrageous is the idea of Christian scholarship</w:t>
      </w:r>
      <w:proofErr w:type="gramStart"/>
      <w:r w:rsidRPr="007F7541">
        <w:rPr>
          <w:rFonts w:ascii="Cambria" w:hAnsi="Cambria"/>
          <w:sz w:val="22"/>
        </w:rPr>
        <w:t>?.</w:t>
      </w:r>
      <w:proofErr w:type="gramEnd"/>
      <w:r w:rsidRPr="007F7541">
        <w:rPr>
          <w:rFonts w:ascii="Cambria" w:hAnsi="Cambria"/>
          <w:sz w:val="22"/>
        </w:rPr>
        <w:t xml:space="preserve"> Joining the mission: a </w:t>
      </w:r>
    </w:p>
    <w:p w:rsidR="00E862A3" w:rsidRPr="007F7541" w:rsidRDefault="00E862A3" w:rsidP="00E862A3">
      <w:pPr>
        <w:pStyle w:val="NormalWeb"/>
        <w:spacing w:before="0" w:beforeAutospacing="0"/>
        <w:ind w:left="720"/>
        <w:rPr>
          <w:rFonts w:ascii="Cambria" w:hAnsi="Cambria"/>
          <w:sz w:val="22"/>
        </w:rPr>
      </w:pPr>
      <w:proofErr w:type="gramStart"/>
      <w:r w:rsidRPr="007F7541">
        <w:rPr>
          <w:rFonts w:ascii="Cambria" w:hAnsi="Cambria"/>
          <w:sz w:val="22"/>
        </w:rPr>
        <w:t>guide</w:t>
      </w:r>
      <w:proofErr w:type="gramEnd"/>
      <w:r w:rsidRPr="007F7541">
        <w:rPr>
          <w:rFonts w:ascii="Cambria" w:hAnsi="Cambria"/>
          <w:sz w:val="22"/>
        </w:rPr>
        <w:t xml:space="preserve"> for (mainly) new Christian faculty. (pp. 129-158). Grand Rapids, MI: Eerdmans Publishing. </w:t>
      </w:r>
    </w:p>
    <w:p w:rsidR="00E862A3" w:rsidRPr="007F7541" w:rsidRDefault="00E862A3" w:rsidP="00E862A3">
      <w:pPr>
        <w:pStyle w:val="NormalWeb"/>
        <w:rPr>
          <w:rFonts w:ascii="Cambria" w:hAnsi="Cambria"/>
          <w:b/>
        </w:rPr>
      </w:pPr>
      <w:r w:rsidRPr="007F7541">
        <w:rPr>
          <w:rFonts w:ascii="Cambria" w:hAnsi="Cambria"/>
          <w:b/>
        </w:rPr>
        <w:t>Part Two Prompt:</w:t>
      </w:r>
    </w:p>
    <w:p w:rsidR="00E862A3" w:rsidRPr="007F7541" w:rsidRDefault="00E862A3" w:rsidP="00E862A3">
      <w:pPr>
        <w:pStyle w:val="NormalWeb"/>
        <w:spacing w:before="0" w:beforeAutospacing="0"/>
        <w:rPr>
          <w:rFonts w:ascii="Cambria" w:hAnsi="Cambria"/>
        </w:rPr>
      </w:pPr>
      <w:r w:rsidRPr="007F7541">
        <w:rPr>
          <w:rFonts w:ascii="Cambria" w:hAnsi="Cambria"/>
        </w:rPr>
        <w:t xml:space="preserve">Ernest L. Boyer framed scholarship as characterized by four interdependent functions (discovery, integration, engagement, and teaching). This model of scholarship has been touted as uniquely applicable to Christian higher education (Allen &amp; Bradley, 2014). Identify and describe one way that Boyer’s model of scholarship or one of its four functions contributes to your view of what it means to be a Christian scholar. You are expected to engage the above readings in your response and are encouraged to engage and cite additional academic sources that support your point of view. </w:t>
      </w:r>
    </w:p>
    <w:p w:rsidR="00DA785B" w:rsidRDefault="00E862A3">
      <w:bookmarkStart w:id="0" w:name="_GoBack"/>
      <w:bookmarkEnd w:id="0"/>
    </w:p>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3"/>
    <w:rsid w:val="007466F2"/>
    <w:rsid w:val="00A37DEF"/>
    <w:rsid w:val="00E8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6CBD-94D3-4054-AB9C-6F23E407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2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2020-02-06T17:31:00Z</dcterms:created>
  <dcterms:modified xsi:type="dcterms:W3CDTF">2020-02-06T17:32:00Z</dcterms:modified>
</cp:coreProperties>
</file>