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F70" w:rsidRPr="007F7541" w:rsidRDefault="002D6F70" w:rsidP="002D6F70">
      <w:pPr>
        <w:rPr>
          <w:rFonts w:ascii="Cambria" w:hAnsi="Cambria"/>
        </w:rPr>
      </w:pPr>
      <w:r w:rsidRPr="007F7541">
        <w:rPr>
          <w:rFonts w:ascii="Cambria" w:hAnsi="Cambria"/>
        </w:rPr>
        <w:t>Proposed modification to SOH Reading List (For comparison see document entitled “Current SOH Reading list in need of modification”)</w:t>
      </w:r>
    </w:p>
    <w:p w:rsidR="002D6F70" w:rsidRPr="007F7541" w:rsidRDefault="002D6F70" w:rsidP="002D6F70">
      <w:pPr>
        <w:spacing w:after="0"/>
        <w:rPr>
          <w:rFonts w:ascii="Cambria" w:hAnsi="Cambria"/>
        </w:rPr>
      </w:pPr>
    </w:p>
    <w:p w:rsidR="002D6F70" w:rsidRPr="007F7541" w:rsidRDefault="002D6F70" w:rsidP="002D6F70">
      <w:pPr>
        <w:ind w:left="360" w:hanging="270"/>
        <w:rPr>
          <w:rFonts w:ascii="Cambria" w:hAnsi="Cambria"/>
          <w:b/>
          <w:bCs/>
          <w:u w:val="single"/>
        </w:rPr>
      </w:pPr>
      <w:r w:rsidRPr="007F7541">
        <w:rPr>
          <w:rFonts w:ascii="Cambria" w:hAnsi="Cambria"/>
          <w:b/>
          <w:bCs/>
          <w:u w:val="single"/>
        </w:rPr>
        <w:t>The Humanities, the Liberal Arts and Christian Higher Education</w:t>
      </w:r>
      <w:r w:rsidRPr="007F7541">
        <w:rPr>
          <w:rFonts w:ascii="Cambria" w:hAnsi="Cambria"/>
          <w:b/>
          <w:bCs/>
        </w:rPr>
        <w:t>—78 pages</w:t>
      </w:r>
    </w:p>
    <w:p w:rsidR="002D6F70" w:rsidRPr="007F7541" w:rsidRDefault="002D6F70" w:rsidP="002D6F70">
      <w:pPr>
        <w:pStyle w:val="ListParagraph"/>
        <w:numPr>
          <w:ilvl w:val="0"/>
          <w:numId w:val="1"/>
        </w:numPr>
        <w:rPr>
          <w:rFonts w:ascii="Cambria" w:hAnsi="Cambria"/>
          <w:sz w:val="22"/>
          <w:szCs w:val="22"/>
        </w:rPr>
      </w:pPr>
      <w:r w:rsidRPr="007F7541">
        <w:rPr>
          <w:rFonts w:ascii="Cambria" w:hAnsi="Cambria"/>
          <w:sz w:val="22"/>
          <w:szCs w:val="22"/>
        </w:rPr>
        <w:t xml:space="preserve">Jean </w:t>
      </w:r>
      <w:proofErr w:type="spellStart"/>
      <w:r w:rsidRPr="007F7541">
        <w:rPr>
          <w:rFonts w:ascii="Cambria" w:hAnsi="Cambria"/>
          <w:sz w:val="22"/>
          <w:szCs w:val="22"/>
        </w:rPr>
        <w:t>Bethke</w:t>
      </w:r>
      <w:proofErr w:type="spellEnd"/>
      <w:r w:rsidRPr="007F7541">
        <w:rPr>
          <w:rFonts w:ascii="Cambria" w:hAnsi="Cambria"/>
          <w:sz w:val="22"/>
          <w:szCs w:val="22"/>
        </w:rPr>
        <w:t xml:space="preserve"> </w:t>
      </w:r>
      <w:proofErr w:type="spellStart"/>
      <w:r w:rsidRPr="007F7541">
        <w:rPr>
          <w:rFonts w:ascii="Cambria" w:hAnsi="Cambria"/>
          <w:sz w:val="22"/>
          <w:szCs w:val="22"/>
        </w:rPr>
        <w:t>Elshtain</w:t>
      </w:r>
      <w:proofErr w:type="spellEnd"/>
      <w:r w:rsidRPr="007F7541">
        <w:rPr>
          <w:rFonts w:ascii="Cambria" w:hAnsi="Cambria"/>
          <w:sz w:val="22"/>
          <w:szCs w:val="22"/>
        </w:rPr>
        <w:t xml:space="preserve">—“To Serve God Wittily, In the Tangle of One’s Mind (Chapter 2 in </w:t>
      </w:r>
      <w:r w:rsidRPr="007F7541">
        <w:rPr>
          <w:rFonts w:ascii="Cambria" w:hAnsi="Cambria"/>
          <w:i/>
          <w:iCs/>
          <w:sz w:val="22"/>
          <w:szCs w:val="22"/>
        </w:rPr>
        <w:t>Christianity and the Soul of the University,</w:t>
      </w:r>
      <w:r w:rsidRPr="007F7541">
        <w:rPr>
          <w:rFonts w:ascii="Cambria" w:hAnsi="Cambria"/>
          <w:sz w:val="22"/>
          <w:szCs w:val="22"/>
        </w:rPr>
        <w:t xml:space="preserve"> Henry and </w:t>
      </w:r>
      <w:proofErr w:type="spellStart"/>
      <w:r w:rsidRPr="007F7541">
        <w:rPr>
          <w:rFonts w:ascii="Cambria" w:hAnsi="Cambria"/>
          <w:sz w:val="22"/>
          <w:szCs w:val="22"/>
        </w:rPr>
        <w:t>Beaty</w:t>
      </w:r>
      <w:proofErr w:type="spellEnd"/>
      <w:r w:rsidRPr="007F7541">
        <w:rPr>
          <w:rFonts w:ascii="Cambria" w:hAnsi="Cambria"/>
          <w:sz w:val="22"/>
          <w:szCs w:val="22"/>
        </w:rPr>
        <w:t>, eds.)—9 pages</w:t>
      </w:r>
    </w:p>
    <w:p w:rsidR="002D6F70" w:rsidRPr="007F7541" w:rsidRDefault="002D6F70" w:rsidP="002D6F70">
      <w:pPr>
        <w:pStyle w:val="ListParagraph"/>
        <w:numPr>
          <w:ilvl w:val="0"/>
          <w:numId w:val="1"/>
        </w:numPr>
        <w:rPr>
          <w:rFonts w:ascii="Cambria" w:hAnsi="Cambria"/>
          <w:sz w:val="22"/>
          <w:szCs w:val="22"/>
        </w:rPr>
      </w:pPr>
      <w:r w:rsidRPr="007F7541">
        <w:rPr>
          <w:rFonts w:ascii="Cambria" w:hAnsi="Cambria"/>
          <w:sz w:val="22"/>
          <w:szCs w:val="22"/>
        </w:rPr>
        <w:t xml:space="preserve">Noll, Mark.  “Jesus Christ: Motives for Serious Learning”—Chapter Two, </w:t>
      </w:r>
      <w:r w:rsidRPr="007F7541">
        <w:rPr>
          <w:rFonts w:ascii="Cambria" w:hAnsi="Cambria"/>
          <w:i/>
          <w:iCs/>
          <w:sz w:val="22"/>
          <w:szCs w:val="22"/>
        </w:rPr>
        <w:t>Jesus Christ and the Life of the Mind</w:t>
      </w:r>
      <w:r w:rsidRPr="007F7541">
        <w:rPr>
          <w:rFonts w:ascii="Cambria" w:hAnsi="Cambria"/>
          <w:sz w:val="22"/>
          <w:szCs w:val="22"/>
        </w:rPr>
        <w:t>, pp23-41—18 pages</w:t>
      </w:r>
    </w:p>
    <w:p w:rsidR="002D6F70" w:rsidRPr="007F7541" w:rsidRDefault="002D6F70" w:rsidP="002D6F70">
      <w:pPr>
        <w:pStyle w:val="ListParagraph"/>
        <w:numPr>
          <w:ilvl w:val="0"/>
          <w:numId w:val="1"/>
        </w:numPr>
        <w:rPr>
          <w:rFonts w:ascii="Cambria" w:hAnsi="Cambria"/>
          <w:sz w:val="22"/>
          <w:szCs w:val="22"/>
        </w:rPr>
      </w:pPr>
      <w:r w:rsidRPr="007F7541">
        <w:rPr>
          <w:rFonts w:ascii="Cambria" w:hAnsi="Cambria"/>
          <w:sz w:val="22"/>
          <w:szCs w:val="22"/>
        </w:rPr>
        <w:t xml:space="preserve">Mark R. </w:t>
      </w:r>
      <w:proofErr w:type="spellStart"/>
      <w:r w:rsidRPr="007F7541">
        <w:rPr>
          <w:rFonts w:ascii="Cambria" w:hAnsi="Cambria"/>
          <w:sz w:val="22"/>
          <w:szCs w:val="22"/>
        </w:rPr>
        <w:t>Schwehn</w:t>
      </w:r>
      <w:proofErr w:type="spellEnd"/>
      <w:r w:rsidRPr="007F7541">
        <w:rPr>
          <w:rFonts w:ascii="Cambria" w:hAnsi="Cambria"/>
          <w:sz w:val="22"/>
          <w:szCs w:val="22"/>
        </w:rPr>
        <w:t>—</w:t>
      </w:r>
      <w:r w:rsidRPr="007F7541">
        <w:rPr>
          <w:rFonts w:ascii="Cambria" w:hAnsi="Cambria"/>
          <w:i/>
          <w:iCs/>
          <w:sz w:val="22"/>
          <w:szCs w:val="22"/>
        </w:rPr>
        <w:t>Exiles From Eden</w:t>
      </w:r>
      <w:r w:rsidRPr="007F7541">
        <w:rPr>
          <w:rFonts w:ascii="Cambria" w:hAnsi="Cambria"/>
          <w:sz w:val="22"/>
          <w:szCs w:val="22"/>
        </w:rPr>
        <w:t xml:space="preserve"> (Excerpt, Chapter 1)—19 pages</w:t>
      </w:r>
    </w:p>
    <w:p w:rsidR="002D6F70" w:rsidRPr="007F7541" w:rsidRDefault="002D6F70" w:rsidP="002D6F70">
      <w:pPr>
        <w:pStyle w:val="ListParagraph"/>
        <w:numPr>
          <w:ilvl w:val="0"/>
          <w:numId w:val="1"/>
        </w:numPr>
        <w:rPr>
          <w:rFonts w:ascii="Cambria" w:hAnsi="Cambria"/>
          <w:sz w:val="22"/>
          <w:szCs w:val="22"/>
        </w:rPr>
      </w:pPr>
      <w:r w:rsidRPr="007F7541">
        <w:rPr>
          <w:rFonts w:ascii="Cambria" w:hAnsi="Cambria"/>
          <w:sz w:val="22"/>
          <w:szCs w:val="22"/>
        </w:rPr>
        <w:t xml:space="preserve">Stanley </w:t>
      </w:r>
      <w:proofErr w:type="spellStart"/>
      <w:r w:rsidRPr="007F7541">
        <w:rPr>
          <w:rFonts w:ascii="Cambria" w:hAnsi="Cambria"/>
          <w:sz w:val="22"/>
          <w:szCs w:val="22"/>
        </w:rPr>
        <w:t>Hauerwas</w:t>
      </w:r>
      <w:proofErr w:type="spellEnd"/>
      <w:r w:rsidRPr="007F7541">
        <w:rPr>
          <w:rFonts w:ascii="Cambria" w:hAnsi="Cambria"/>
          <w:sz w:val="22"/>
          <w:szCs w:val="22"/>
        </w:rPr>
        <w:t>—</w:t>
      </w:r>
      <w:r w:rsidRPr="007F7541">
        <w:rPr>
          <w:rFonts w:ascii="Cambria" w:hAnsi="Cambria"/>
          <w:i/>
          <w:iCs/>
          <w:sz w:val="22"/>
          <w:szCs w:val="22"/>
        </w:rPr>
        <w:t xml:space="preserve">The State of the University: Academic </w:t>
      </w:r>
      <w:proofErr w:type="spellStart"/>
      <w:r w:rsidRPr="007F7541">
        <w:rPr>
          <w:rFonts w:ascii="Cambria" w:hAnsi="Cambria"/>
          <w:i/>
          <w:iCs/>
          <w:sz w:val="22"/>
          <w:szCs w:val="22"/>
        </w:rPr>
        <w:t>Knowledges</w:t>
      </w:r>
      <w:proofErr w:type="spellEnd"/>
      <w:r w:rsidRPr="007F7541">
        <w:rPr>
          <w:rFonts w:ascii="Cambria" w:hAnsi="Cambria"/>
          <w:i/>
          <w:iCs/>
          <w:sz w:val="22"/>
          <w:szCs w:val="22"/>
        </w:rPr>
        <w:t xml:space="preserve"> and the Knowledge of God, (</w:t>
      </w:r>
      <w:r w:rsidRPr="007F7541">
        <w:rPr>
          <w:rFonts w:ascii="Cambria" w:hAnsi="Cambria"/>
          <w:sz w:val="22"/>
          <w:szCs w:val="22"/>
        </w:rPr>
        <w:t>Excerpt, Introduction and Chapter One—32 pages</w:t>
      </w:r>
    </w:p>
    <w:p w:rsidR="002D6F70" w:rsidRPr="007F7541" w:rsidRDefault="002D6F70" w:rsidP="002D6F70">
      <w:pPr>
        <w:pStyle w:val="ListParagraph"/>
        <w:numPr>
          <w:ilvl w:val="0"/>
          <w:numId w:val="1"/>
        </w:numPr>
        <w:rPr>
          <w:rFonts w:ascii="Cambria" w:hAnsi="Cambria"/>
          <w:sz w:val="22"/>
          <w:szCs w:val="22"/>
        </w:rPr>
      </w:pPr>
      <w:r w:rsidRPr="007F7541">
        <w:rPr>
          <w:rFonts w:ascii="Cambria" w:hAnsi="Cambria"/>
          <w:sz w:val="22"/>
          <w:szCs w:val="22"/>
        </w:rPr>
        <w:t>Crystal Downing—</w:t>
      </w:r>
      <w:r w:rsidRPr="007F7541">
        <w:rPr>
          <w:rFonts w:ascii="Cambria" w:hAnsi="Cambria"/>
          <w:i/>
          <w:sz w:val="22"/>
          <w:szCs w:val="22"/>
        </w:rPr>
        <w:t>How Postmodernism Serves My Faith</w:t>
      </w:r>
      <w:r w:rsidRPr="007F7541">
        <w:rPr>
          <w:rFonts w:ascii="Cambria" w:hAnsi="Cambria"/>
          <w:sz w:val="22"/>
          <w:szCs w:val="22"/>
        </w:rPr>
        <w:t xml:space="preserve"> (Chapter 6)—31 pages</w:t>
      </w:r>
    </w:p>
    <w:p w:rsidR="002D6F70" w:rsidRPr="007F7541" w:rsidRDefault="002D6F70" w:rsidP="002D6F70">
      <w:pPr>
        <w:rPr>
          <w:rFonts w:ascii="Cambria" w:hAnsi="Cambria"/>
        </w:rPr>
      </w:pPr>
    </w:p>
    <w:p w:rsidR="002D6F70" w:rsidRPr="007F7541" w:rsidRDefault="002D6F70" w:rsidP="002D6F70">
      <w:pPr>
        <w:rPr>
          <w:rFonts w:ascii="Cambria" w:hAnsi="Cambria"/>
          <w:b/>
          <w:bCs/>
          <w:u w:val="single"/>
        </w:rPr>
      </w:pPr>
      <w:r w:rsidRPr="007F7541">
        <w:rPr>
          <w:rFonts w:ascii="Cambria" w:hAnsi="Cambria"/>
          <w:b/>
          <w:bCs/>
          <w:u w:val="single"/>
        </w:rPr>
        <w:t>Engaging with Diversity and Inclusive Excellence</w:t>
      </w:r>
      <w:r w:rsidRPr="007F7541">
        <w:rPr>
          <w:rFonts w:ascii="Cambria" w:hAnsi="Cambria"/>
          <w:b/>
          <w:bCs/>
        </w:rPr>
        <w:t>—59 pages</w:t>
      </w:r>
    </w:p>
    <w:p w:rsidR="002D6F70" w:rsidRPr="007F7541" w:rsidRDefault="002D6F70" w:rsidP="002D6F70">
      <w:pPr>
        <w:pStyle w:val="ListParagraph"/>
        <w:numPr>
          <w:ilvl w:val="0"/>
          <w:numId w:val="2"/>
        </w:numPr>
        <w:rPr>
          <w:rFonts w:ascii="Cambria" w:hAnsi="Cambria"/>
          <w:sz w:val="22"/>
          <w:szCs w:val="22"/>
        </w:rPr>
      </w:pPr>
      <w:r w:rsidRPr="007F7541">
        <w:rPr>
          <w:rFonts w:ascii="Cambria" w:hAnsi="Cambria"/>
          <w:sz w:val="22"/>
          <w:szCs w:val="22"/>
        </w:rPr>
        <w:t>Nancy Ramsay—“Faculty Colleagues as Allies in Resisting Racism—15 pages</w:t>
      </w:r>
    </w:p>
    <w:p w:rsidR="002D6F70" w:rsidRPr="007F7541" w:rsidRDefault="002D6F70" w:rsidP="002D6F70">
      <w:pPr>
        <w:pStyle w:val="ListParagraph"/>
        <w:numPr>
          <w:ilvl w:val="0"/>
          <w:numId w:val="2"/>
        </w:numPr>
        <w:rPr>
          <w:rFonts w:ascii="Cambria" w:hAnsi="Cambria"/>
          <w:sz w:val="22"/>
          <w:szCs w:val="22"/>
        </w:rPr>
      </w:pPr>
      <w:r w:rsidRPr="007F7541">
        <w:rPr>
          <w:rFonts w:ascii="Cambria" w:hAnsi="Cambria"/>
          <w:sz w:val="22"/>
          <w:szCs w:val="22"/>
        </w:rPr>
        <w:t>David I Smith—Learning From the Stranger (excerpt)—24 pages</w:t>
      </w:r>
    </w:p>
    <w:p w:rsidR="002D6F70" w:rsidRPr="007F7541" w:rsidRDefault="002D6F70" w:rsidP="002D6F70">
      <w:pPr>
        <w:pStyle w:val="ListParagraph"/>
        <w:numPr>
          <w:ilvl w:val="0"/>
          <w:numId w:val="2"/>
        </w:numPr>
        <w:rPr>
          <w:rFonts w:ascii="Cambria" w:hAnsi="Cambria"/>
          <w:sz w:val="22"/>
          <w:szCs w:val="22"/>
        </w:rPr>
      </w:pPr>
      <w:r w:rsidRPr="007F7541">
        <w:rPr>
          <w:rFonts w:ascii="Cambria" w:hAnsi="Cambria"/>
          <w:sz w:val="22"/>
          <w:szCs w:val="22"/>
        </w:rPr>
        <w:t>Drew G.I. Hart—</w:t>
      </w:r>
      <w:r w:rsidRPr="007F7541">
        <w:rPr>
          <w:rFonts w:ascii="Cambria" w:hAnsi="Cambria"/>
          <w:i/>
          <w:iCs/>
          <w:sz w:val="22"/>
          <w:szCs w:val="22"/>
        </w:rPr>
        <w:t>Trouble I’ve Seen</w:t>
      </w:r>
      <w:r w:rsidRPr="007F7541">
        <w:rPr>
          <w:rFonts w:ascii="Cambria" w:hAnsi="Cambria"/>
          <w:sz w:val="22"/>
          <w:szCs w:val="22"/>
        </w:rPr>
        <w:t>,(Excerpt Chapter 5)—20 pages</w:t>
      </w:r>
    </w:p>
    <w:p w:rsidR="002D6F70" w:rsidRPr="007F7541" w:rsidRDefault="002D6F70" w:rsidP="002D6F70">
      <w:pPr>
        <w:rPr>
          <w:rFonts w:ascii="Cambria" w:hAnsi="Cambria"/>
        </w:rPr>
      </w:pPr>
    </w:p>
    <w:p w:rsidR="002D6F70" w:rsidRPr="007F7541" w:rsidRDefault="002D6F70" w:rsidP="002D6F70">
      <w:pPr>
        <w:rPr>
          <w:rFonts w:ascii="Cambria" w:hAnsi="Cambria"/>
          <w:b/>
          <w:bCs/>
        </w:rPr>
      </w:pPr>
      <w:r w:rsidRPr="007F7541">
        <w:rPr>
          <w:rFonts w:ascii="Cambria" w:hAnsi="Cambria"/>
          <w:b/>
          <w:bCs/>
          <w:u w:val="single"/>
        </w:rPr>
        <w:t>The Humanities and the Teaching Vocation</w:t>
      </w:r>
      <w:r w:rsidRPr="007F7541">
        <w:rPr>
          <w:rFonts w:ascii="Cambria" w:hAnsi="Cambria"/>
          <w:b/>
          <w:bCs/>
        </w:rPr>
        <w:t>—68 pages</w:t>
      </w:r>
    </w:p>
    <w:p w:rsidR="002D6F70" w:rsidRPr="007F7541" w:rsidRDefault="002D6F70" w:rsidP="002D6F70">
      <w:pPr>
        <w:pStyle w:val="ListParagraph"/>
        <w:numPr>
          <w:ilvl w:val="0"/>
          <w:numId w:val="3"/>
        </w:numPr>
        <w:rPr>
          <w:rFonts w:ascii="Cambria" w:hAnsi="Cambria"/>
          <w:sz w:val="22"/>
          <w:szCs w:val="22"/>
        </w:rPr>
      </w:pPr>
      <w:r w:rsidRPr="007F7541">
        <w:rPr>
          <w:rFonts w:ascii="Cambria" w:hAnsi="Cambria"/>
          <w:sz w:val="22"/>
          <w:szCs w:val="22"/>
        </w:rPr>
        <w:t xml:space="preserve">Mary Hinton—“The Vocational Cycle to Support Institutional Justice”, Excerpt from </w:t>
      </w:r>
      <w:r w:rsidRPr="007F7541">
        <w:rPr>
          <w:rFonts w:ascii="Cambria" w:hAnsi="Cambria"/>
          <w:i/>
          <w:iCs/>
          <w:sz w:val="22"/>
          <w:szCs w:val="22"/>
        </w:rPr>
        <w:t>Teaching for a Culturally Diverse and Racially Just World</w:t>
      </w:r>
      <w:r w:rsidRPr="007F7541">
        <w:rPr>
          <w:rFonts w:ascii="Cambria" w:hAnsi="Cambria"/>
          <w:sz w:val="22"/>
          <w:szCs w:val="22"/>
        </w:rPr>
        <w:t>—18 pages</w:t>
      </w:r>
    </w:p>
    <w:p w:rsidR="002D6F70" w:rsidRPr="007F7541" w:rsidRDefault="002D6F70" w:rsidP="002D6F70">
      <w:pPr>
        <w:pStyle w:val="ListParagraph"/>
        <w:numPr>
          <w:ilvl w:val="0"/>
          <w:numId w:val="3"/>
        </w:numPr>
        <w:rPr>
          <w:rFonts w:ascii="Cambria" w:hAnsi="Cambria"/>
          <w:sz w:val="22"/>
          <w:szCs w:val="22"/>
        </w:rPr>
      </w:pPr>
      <w:r w:rsidRPr="007F7541">
        <w:rPr>
          <w:rFonts w:ascii="Cambria" w:hAnsi="Cambria"/>
          <w:sz w:val="22"/>
          <w:szCs w:val="22"/>
        </w:rPr>
        <w:t>Parker Palmer—The Courage To Teach (Excerpt Chapter 1)—26 pages</w:t>
      </w:r>
    </w:p>
    <w:p w:rsidR="002D6F70" w:rsidRPr="007F7541" w:rsidRDefault="002D6F70" w:rsidP="002D6F70">
      <w:pPr>
        <w:pStyle w:val="ListParagraph"/>
        <w:numPr>
          <w:ilvl w:val="0"/>
          <w:numId w:val="3"/>
        </w:numPr>
        <w:rPr>
          <w:rFonts w:ascii="Cambria" w:hAnsi="Cambria"/>
          <w:sz w:val="22"/>
          <w:szCs w:val="22"/>
        </w:rPr>
      </w:pPr>
      <w:r w:rsidRPr="007F7541">
        <w:rPr>
          <w:rFonts w:ascii="Cambria" w:hAnsi="Cambria"/>
          <w:sz w:val="22"/>
          <w:szCs w:val="22"/>
        </w:rPr>
        <w:t xml:space="preserve">Nicholas </w:t>
      </w:r>
      <w:proofErr w:type="spellStart"/>
      <w:r w:rsidRPr="007F7541">
        <w:rPr>
          <w:rFonts w:ascii="Cambria" w:hAnsi="Cambria"/>
          <w:sz w:val="22"/>
          <w:szCs w:val="22"/>
        </w:rPr>
        <w:t>Wolterstorff</w:t>
      </w:r>
      <w:proofErr w:type="spellEnd"/>
      <w:r w:rsidRPr="007F7541">
        <w:rPr>
          <w:rFonts w:ascii="Cambria" w:hAnsi="Cambria"/>
          <w:sz w:val="22"/>
          <w:szCs w:val="22"/>
        </w:rPr>
        <w:t>—excerpts from Educating for Shalom—24 pages</w:t>
      </w:r>
    </w:p>
    <w:p w:rsidR="002D6F70" w:rsidRPr="007F7541" w:rsidRDefault="002D6F70" w:rsidP="002D6F70">
      <w:pPr>
        <w:pStyle w:val="ListParagraph"/>
        <w:numPr>
          <w:ilvl w:val="1"/>
          <w:numId w:val="3"/>
        </w:numPr>
        <w:rPr>
          <w:rFonts w:ascii="Cambria" w:hAnsi="Cambria"/>
          <w:sz w:val="22"/>
          <w:szCs w:val="22"/>
        </w:rPr>
      </w:pPr>
      <w:r w:rsidRPr="007F7541">
        <w:rPr>
          <w:rFonts w:ascii="Cambria" w:hAnsi="Cambria"/>
          <w:sz w:val="22"/>
          <w:szCs w:val="22"/>
        </w:rPr>
        <w:t>Teaching For Shalom—pp10-26</w:t>
      </w:r>
    </w:p>
    <w:p w:rsidR="002D6F70" w:rsidRPr="007F7541" w:rsidRDefault="002D6F70" w:rsidP="002D6F70">
      <w:pPr>
        <w:pStyle w:val="ListParagraph"/>
        <w:numPr>
          <w:ilvl w:val="1"/>
          <w:numId w:val="3"/>
        </w:numPr>
        <w:rPr>
          <w:rFonts w:ascii="Cambria" w:hAnsi="Cambria"/>
          <w:sz w:val="22"/>
          <w:szCs w:val="22"/>
        </w:rPr>
      </w:pPr>
      <w:r w:rsidRPr="007F7541">
        <w:rPr>
          <w:rFonts w:ascii="Cambria" w:hAnsi="Cambria"/>
          <w:sz w:val="22"/>
          <w:szCs w:val="22"/>
        </w:rPr>
        <w:t>Should the work of our hands have Standing in the Christian College—pp264-275.</w:t>
      </w:r>
    </w:p>
    <w:p w:rsidR="002D6F70" w:rsidRPr="007F7541" w:rsidRDefault="002D6F70" w:rsidP="002D6F70">
      <w:pPr>
        <w:rPr>
          <w:rFonts w:ascii="Cambria" w:hAnsi="Cambria"/>
        </w:rPr>
      </w:pPr>
    </w:p>
    <w:p w:rsidR="002D6F70" w:rsidRPr="007F7541" w:rsidRDefault="002D6F70" w:rsidP="002D6F70">
      <w:pPr>
        <w:rPr>
          <w:rFonts w:ascii="Cambria" w:hAnsi="Cambria"/>
        </w:rPr>
      </w:pPr>
      <w:r w:rsidRPr="007F7541">
        <w:rPr>
          <w:rFonts w:ascii="Cambria" w:hAnsi="Cambria"/>
        </w:rPr>
        <w:t>236 Total pages</w:t>
      </w:r>
    </w:p>
    <w:p w:rsidR="002D6F70" w:rsidRPr="007F7541" w:rsidRDefault="002D6F70" w:rsidP="002D6F70">
      <w:pPr>
        <w:rPr>
          <w:rFonts w:ascii="Cambria" w:hAnsi="Cambria"/>
        </w:rPr>
      </w:pPr>
    </w:p>
    <w:p w:rsidR="002D6F70" w:rsidRPr="007F7541" w:rsidRDefault="002D6F70" w:rsidP="002D6F70">
      <w:pPr>
        <w:rPr>
          <w:rFonts w:ascii="Cambria" w:hAnsi="Cambria"/>
          <w:b/>
          <w:sz w:val="24"/>
        </w:rPr>
      </w:pPr>
      <w:r w:rsidRPr="007F7541">
        <w:rPr>
          <w:rFonts w:ascii="Cambria" w:hAnsi="Cambria"/>
          <w:b/>
          <w:sz w:val="24"/>
        </w:rPr>
        <w:t>Proposed Prompts for SOH TTP reading list:</w:t>
      </w:r>
    </w:p>
    <w:p w:rsidR="002D6F70" w:rsidRPr="007F7541" w:rsidRDefault="002D6F70" w:rsidP="002D6F70">
      <w:pPr>
        <w:spacing w:after="0"/>
        <w:rPr>
          <w:rFonts w:ascii="Cambria" w:hAnsi="Cambria"/>
        </w:rPr>
      </w:pPr>
    </w:p>
    <w:p w:rsidR="002D6F70" w:rsidRPr="007F7541" w:rsidRDefault="002D6F70" w:rsidP="002D6F70">
      <w:pPr>
        <w:pStyle w:val="ListParagraph"/>
        <w:numPr>
          <w:ilvl w:val="0"/>
          <w:numId w:val="4"/>
        </w:numPr>
        <w:rPr>
          <w:rFonts w:ascii="Cambria" w:hAnsi="Cambria"/>
        </w:rPr>
      </w:pPr>
      <w:r w:rsidRPr="007F7541">
        <w:rPr>
          <w:rFonts w:ascii="Cambria" w:hAnsi="Cambria"/>
        </w:rPr>
        <w:t>Messiah College draws its identity from a diverse array of Christian traditions and has welcomed Christians from all traditions to a common educational mission.  In dialogue with the School of the Humanities reading list, discuss how Christian faith shapes your academic vocation in the humanities.</w:t>
      </w:r>
    </w:p>
    <w:p w:rsidR="00DA785B" w:rsidRPr="002D6F70" w:rsidRDefault="002D6F70" w:rsidP="002D6F70">
      <w:pPr>
        <w:pStyle w:val="ListParagraph"/>
        <w:numPr>
          <w:ilvl w:val="0"/>
          <w:numId w:val="4"/>
        </w:numPr>
        <w:jc w:val="both"/>
        <w:textAlignment w:val="center"/>
        <w:rPr>
          <w:rFonts w:ascii="Cambria" w:hAnsi="Cambria"/>
        </w:rPr>
      </w:pPr>
      <w:r w:rsidRPr="007F7541">
        <w:rPr>
          <w:rFonts w:ascii="Cambria" w:hAnsi="Cambria"/>
        </w:rPr>
        <w:t xml:space="preserve">An education in the humanities seeks to contribute to the mission of the College by connecting maturity of Christian faith to the broad theme of work of reconciliation in church and society. This work includes a wide variety of forms of reconciliation across the divisions that characterize human experience with one another, with the created order or with God. In dialogue with the SOH recommended reading list, please describe how your academic vocation engages with this broad goal of scholarship teaching and/or service. </w:t>
      </w:r>
      <w:bookmarkStart w:id="0" w:name="_GoBack"/>
      <w:bookmarkEnd w:id="0"/>
    </w:p>
    <w:sectPr w:rsidR="00DA785B" w:rsidRPr="002D6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28A8"/>
    <w:multiLevelType w:val="hybridMultilevel"/>
    <w:tmpl w:val="2C8080B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EBF0EA7"/>
    <w:multiLevelType w:val="hybridMultilevel"/>
    <w:tmpl w:val="EBF0E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8C7B42"/>
    <w:multiLevelType w:val="hybridMultilevel"/>
    <w:tmpl w:val="D75C5C2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72061D48"/>
    <w:multiLevelType w:val="hybridMultilevel"/>
    <w:tmpl w:val="238AD1B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F70"/>
    <w:rsid w:val="002D6F70"/>
    <w:rsid w:val="007466F2"/>
    <w:rsid w:val="00A37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73667"/>
  <w15:chartTrackingRefBased/>
  <w15:docId w15:val="{99269DB6-1527-4C55-9A58-0AA09300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F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F70"/>
    <w:pPr>
      <w:spacing w:after="0" w:line="240" w:lineRule="auto"/>
      <w:ind w:left="720"/>
      <w:contextualSpacing/>
    </w:pPr>
    <w:rPr>
      <w:rFonts w:ascii="Calibri" w:eastAsia="MS Mincho"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 Study - Boyer Center 1</dc:creator>
  <cp:keywords/>
  <dc:description/>
  <cp:lastModifiedBy>Work Study - Boyer Center 1</cp:lastModifiedBy>
  <cp:revision>1</cp:revision>
  <dcterms:created xsi:type="dcterms:W3CDTF">2020-02-06T17:24:00Z</dcterms:created>
  <dcterms:modified xsi:type="dcterms:W3CDTF">2020-02-06T17:24:00Z</dcterms:modified>
</cp:coreProperties>
</file>