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B37F" w14:textId="77777777" w:rsidR="00616594" w:rsidRPr="007F7541" w:rsidRDefault="00616594" w:rsidP="00616594">
      <w:pPr>
        <w:spacing w:after="0"/>
        <w:jc w:val="center"/>
        <w:rPr>
          <w:rFonts w:ascii="Cambria" w:hAnsi="Cambria"/>
          <w:b/>
        </w:rPr>
      </w:pPr>
      <w:r w:rsidRPr="007F7541">
        <w:rPr>
          <w:rFonts w:ascii="Cambria" w:hAnsi="Cambria"/>
          <w:b/>
        </w:rPr>
        <w:t>Department of Communication</w:t>
      </w:r>
    </w:p>
    <w:p w14:paraId="61ABCD2D" w14:textId="77777777" w:rsidR="00616594" w:rsidRPr="007F7541" w:rsidRDefault="00616594" w:rsidP="00616594">
      <w:pPr>
        <w:spacing w:after="0"/>
        <w:jc w:val="center"/>
        <w:rPr>
          <w:rFonts w:ascii="Cambria" w:hAnsi="Cambria"/>
          <w:b/>
        </w:rPr>
      </w:pPr>
      <w:r w:rsidRPr="007F7541">
        <w:rPr>
          <w:rFonts w:ascii="Cambria" w:hAnsi="Cambria"/>
          <w:b/>
        </w:rPr>
        <w:t>Term Tenure Reading List</w:t>
      </w:r>
    </w:p>
    <w:p w14:paraId="16EB207A" w14:textId="77777777" w:rsidR="00616594" w:rsidRPr="007F7541" w:rsidRDefault="00616594" w:rsidP="00616594">
      <w:pPr>
        <w:rPr>
          <w:rFonts w:ascii="Cambria" w:hAnsi="Cambria" w:cstheme="majorBidi"/>
        </w:rPr>
      </w:pPr>
    </w:p>
    <w:p w14:paraId="554995BA" w14:textId="77777777" w:rsidR="00616594" w:rsidRPr="007F7541" w:rsidRDefault="00616594" w:rsidP="00616594">
      <w:pPr>
        <w:tabs>
          <w:tab w:val="left" w:pos="4500"/>
        </w:tabs>
        <w:spacing w:after="0"/>
        <w:rPr>
          <w:rFonts w:ascii="Cambria" w:hAnsi="Cambria"/>
          <w:b/>
          <w:bCs/>
          <w:noProof/>
        </w:rPr>
      </w:pPr>
      <w:r w:rsidRPr="007F7541">
        <w:rPr>
          <w:rFonts w:ascii="Cambria" w:hAnsi="Cambria"/>
          <w:b/>
          <w:bCs/>
          <w:noProof/>
          <w:u w:val="single"/>
        </w:rPr>
        <w:t>Everyone, Please read</w:t>
      </w:r>
      <w:r w:rsidRPr="007F7541">
        <w:rPr>
          <w:rFonts w:ascii="Cambria" w:hAnsi="Cambria"/>
          <w:b/>
          <w:bCs/>
          <w:noProof/>
        </w:rPr>
        <w:t xml:space="preserve">: </w:t>
      </w:r>
    </w:p>
    <w:p w14:paraId="0301DD43" w14:textId="77777777" w:rsidR="00616594" w:rsidRPr="007F7541" w:rsidRDefault="00616594" w:rsidP="00616594">
      <w:pPr>
        <w:tabs>
          <w:tab w:val="left" w:pos="4500"/>
        </w:tabs>
        <w:spacing w:after="0"/>
        <w:rPr>
          <w:rFonts w:ascii="Cambria" w:hAnsi="Cambria"/>
          <w:bCs/>
          <w:noProof/>
        </w:rPr>
      </w:pPr>
      <w:r w:rsidRPr="007F7541">
        <w:rPr>
          <w:rFonts w:ascii="Cambria" w:hAnsi="Cambria"/>
          <w:bCs/>
          <w:noProof/>
        </w:rPr>
        <w:t xml:space="preserve">Muehlhoff, T., &amp; Lewis, T. (2010). </w:t>
      </w:r>
      <w:r w:rsidRPr="007F7541">
        <w:rPr>
          <w:rFonts w:ascii="Cambria" w:hAnsi="Cambria"/>
          <w:bCs/>
          <w:i/>
          <w:noProof/>
        </w:rPr>
        <w:t>Authentic communication: Christian speech engaging culture</w:t>
      </w:r>
      <w:r w:rsidRPr="007F7541">
        <w:rPr>
          <w:rFonts w:ascii="Cambria" w:hAnsi="Cambria"/>
          <w:bCs/>
          <w:noProof/>
        </w:rPr>
        <w:t xml:space="preserve">. </w:t>
      </w:r>
    </w:p>
    <w:p w14:paraId="7991FAE6" w14:textId="77777777" w:rsidR="00616594" w:rsidRPr="007F7541" w:rsidRDefault="00616594" w:rsidP="00616594">
      <w:pPr>
        <w:tabs>
          <w:tab w:val="left" w:pos="720"/>
        </w:tabs>
        <w:rPr>
          <w:rFonts w:ascii="Cambria" w:hAnsi="Cambria"/>
          <w:bCs/>
          <w:noProof/>
        </w:rPr>
      </w:pPr>
      <w:r w:rsidRPr="007F7541">
        <w:rPr>
          <w:rFonts w:ascii="Cambria" w:hAnsi="Cambria"/>
          <w:bCs/>
          <w:noProof/>
        </w:rPr>
        <w:tab/>
        <w:t xml:space="preserve">Downers Grove, IL: IVP Academic. Chs. 1-3, pp. 37-79. (42 pp.) </w:t>
      </w:r>
    </w:p>
    <w:p w14:paraId="70534629" w14:textId="77777777" w:rsidR="00616594" w:rsidRPr="007F7541" w:rsidRDefault="00616594" w:rsidP="00616594">
      <w:pPr>
        <w:pStyle w:val="ListParagraph"/>
        <w:numPr>
          <w:ilvl w:val="0"/>
          <w:numId w:val="1"/>
        </w:numPr>
        <w:tabs>
          <w:tab w:val="left" w:pos="4500"/>
        </w:tabs>
        <w:rPr>
          <w:rFonts w:ascii="Cambria" w:hAnsi="Cambria"/>
          <w:bCs/>
          <w:noProof/>
          <w:sz w:val="22"/>
        </w:rPr>
      </w:pPr>
      <w:r w:rsidRPr="007F7541">
        <w:rPr>
          <w:rFonts w:ascii="Cambria" w:hAnsi="Cambria"/>
          <w:bCs/>
          <w:noProof/>
          <w:sz w:val="22"/>
        </w:rPr>
        <w:t xml:space="preserve">Authentic Communication provides an overview of major areas of study within the communication disipline from a  Christian perspective. Among a variety of communication-related topics, Muehlhoff and Lewis assess the power of words, perspective-taking, persuasion, and conflict management, all with an eye toward communicating forgiveness and promoting the common good. </w:t>
      </w:r>
    </w:p>
    <w:p w14:paraId="45B7865C" w14:textId="77777777" w:rsidR="00616594" w:rsidRPr="007F7541" w:rsidRDefault="00616594" w:rsidP="00616594">
      <w:pPr>
        <w:tabs>
          <w:tab w:val="left" w:pos="4500"/>
        </w:tabs>
        <w:spacing w:before="240"/>
        <w:rPr>
          <w:rFonts w:ascii="Cambria" w:hAnsi="Cambria"/>
          <w:b/>
          <w:u w:val="single"/>
        </w:rPr>
      </w:pPr>
    </w:p>
    <w:p w14:paraId="2CAA4DD1" w14:textId="77777777" w:rsidR="00616594" w:rsidRPr="007F7541" w:rsidRDefault="00616594" w:rsidP="00616594">
      <w:pPr>
        <w:tabs>
          <w:tab w:val="left" w:pos="4500"/>
        </w:tabs>
        <w:spacing w:after="0"/>
        <w:rPr>
          <w:rFonts w:ascii="Cambria" w:hAnsi="Cambria"/>
          <w:b/>
          <w:u w:val="single"/>
        </w:rPr>
      </w:pPr>
      <w:r w:rsidRPr="007F7541">
        <w:rPr>
          <w:rFonts w:ascii="Cambria" w:hAnsi="Cambria"/>
          <w:b/>
          <w:u w:val="single"/>
        </w:rPr>
        <w:t xml:space="preserve">COMM please read: </w:t>
      </w:r>
    </w:p>
    <w:p w14:paraId="1C780EF7" w14:textId="77777777" w:rsidR="00616594" w:rsidRPr="007F7541" w:rsidRDefault="00616594" w:rsidP="00616594">
      <w:pPr>
        <w:tabs>
          <w:tab w:val="left" w:pos="4500"/>
        </w:tabs>
        <w:rPr>
          <w:rFonts w:ascii="Cambria" w:hAnsi="Cambria"/>
        </w:rPr>
      </w:pPr>
      <w:r w:rsidRPr="007F7541">
        <w:rPr>
          <w:rFonts w:ascii="Cambria" w:hAnsi="Cambria"/>
        </w:rPr>
        <w:t xml:space="preserve">Arnett, R. C. (2006). Through a Glass, Darkly. </w:t>
      </w:r>
      <w:r w:rsidRPr="007F7541">
        <w:rPr>
          <w:rFonts w:ascii="Cambria" w:hAnsi="Cambria"/>
          <w:i/>
          <w:iCs/>
        </w:rPr>
        <w:t>Journal of Communication &amp; Religion</w:t>
      </w:r>
      <w:r w:rsidRPr="007F7541">
        <w:rPr>
          <w:rFonts w:ascii="Cambria" w:hAnsi="Cambria"/>
        </w:rPr>
        <w:t xml:space="preserve">, </w:t>
      </w:r>
      <w:r w:rsidRPr="007F7541">
        <w:rPr>
          <w:rFonts w:ascii="Cambria" w:hAnsi="Cambria"/>
          <w:i/>
          <w:iCs/>
        </w:rPr>
        <w:t>29</w:t>
      </w:r>
      <w:r w:rsidRPr="007F7541">
        <w:rPr>
          <w:rFonts w:ascii="Cambria" w:hAnsi="Cambria"/>
        </w:rPr>
        <w:t>(1), 1-17.</w:t>
      </w:r>
    </w:p>
    <w:p w14:paraId="44E2CA82" w14:textId="77777777" w:rsidR="00616594" w:rsidRPr="007F7541" w:rsidRDefault="00616594" w:rsidP="00616594">
      <w:pPr>
        <w:pStyle w:val="ListParagraph"/>
        <w:numPr>
          <w:ilvl w:val="0"/>
          <w:numId w:val="1"/>
        </w:numPr>
        <w:tabs>
          <w:tab w:val="left" w:pos="4500"/>
        </w:tabs>
        <w:rPr>
          <w:rFonts w:ascii="Cambria" w:hAnsi="Cambria"/>
          <w:sz w:val="22"/>
        </w:rPr>
      </w:pPr>
      <w:r w:rsidRPr="007F7541">
        <w:rPr>
          <w:rFonts w:ascii="Cambria" w:hAnsi="Cambria"/>
          <w:sz w:val="22"/>
        </w:rPr>
        <w:t xml:space="preserve">Philosophy of Communication scholar Ron Arnett describes his own approach to religious communication scholarship as “a stumble in the dark, engaging the faith through a glass, darkly” (p. 1). A proponent of Buber’s dialogism, Arnett emphasizes the importance of moving from I-it relationships to I-thou relationships, and describes religious knowing by the characteristics of mystery and surprise. </w:t>
      </w:r>
    </w:p>
    <w:p w14:paraId="4B7FC095" w14:textId="77777777" w:rsidR="00616594" w:rsidRPr="007F7541" w:rsidRDefault="00616594" w:rsidP="00616594">
      <w:pPr>
        <w:tabs>
          <w:tab w:val="left" w:pos="4500"/>
        </w:tabs>
        <w:spacing w:before="240"/>
        <w:rPr>
          <w:rFonts w:ascii="Cambria" w:hAnsi="Cambria"/>
        </w:rPr>
      </w:pPr>
    </w:p>
    <w:p w14:paraId="7F0BE86B" w14:textId="77777777" w:rsidR="00616594" w:rsidRPr="007F7541" w:rsidRDefault="00616594" w:rsidP="00616594">
      <w:pPr>
        <w:tabs>
          <w:tab w:val="left" w:pos="4500"/>
        </w:tabs>
        <w:spacing w:after="0"/>
        <w:rPr>
          <w:rFonts w:ascii="Cambria" w:hAnsi="Cambria"/>
        </w:rPr>
      </w:pPr>
      <w:r w:rsidRPr="007F7541">
        <w:rPr>
          <w:rFonts w:ascii="Cambria" w:hAnsi="Cambria"/>
        </w:rPr>
        <w:t xml:space="preserve">Steiner, M. (2009). Reconceptualizing Christian public engagement: “Faithful witness” and the </w:t>
      </w:r>
    </w:p>
    <w:p w14:paraId="06E05E57" w14:textId="77777777" w:rsidR="00616594" w:rsidRPr="007F7541" w:rsidRDefault="00616594" w:rsidP="00616594">
      <w:pPr>
        <w:tabs>
          <w:tab w:val="left" w:pos="720"/>
        </w:tabs>
        <w:rPr>
          <w:rFonts w:ascii="Cambria" w:hAnsi="Cambria"/>
        </w:rPr>
      </w:pPr>
      <w:r w:rsidRPr="007F7541">
        <w:rPr>
          <w:rFonts w:ascii="Cambria" w:hAnsi="Cambria"/>
        </w:rPr>
        <w:t xml:space="preserve">American Evangelical tradition. </w:t>
      </w:r>
      <w:r w:rsidRPr="007F7541">
        <w:rPr>
          <w:rFonts w:ascii="Cambria" w:hAnsi="Cambria"/>
          <w:i/>
          <w:iCs/>
        </w:rPr>
        <w:t>Journal of Communication &amp; Religion, 32</w:t>
      </w:r>
      <w:r w:rsidRPr="007F7541">
        <w:rPr>
          <w:rFonts w:ascii="Cambria" w:hAnsi="Cambria"/>
        </w:rPr>
        <w:t xml:space="preserve">(2), 289-318. </w:t>
      </w:r>
    </w:p>
    <w:p w14:paraId="688FE0AE" w14:textId="77777777" w:rsidR="00616594" w:rsidRPr="007F7541" w:rsidRDefault="00616594" w:rsidP="00616594">
      <w:pPr>
        <w:pStyle w:val="ListParagraph"/>
        <w:numPr>
          <w:ilvl w:val="0"/>
          <w:numId w:val="1"/>
        </w:numPr>
        <w:tabs>
          <w:tab w:val="left" w:pos="720"/>
        </w:tabs>
        <w:rPr>
          <w:rFonts w:ascii="Cambria" w:hAnsi="Cambria"/>
          <w:sz w:val="22"/>
        </w:rPr>
      </w:pPr>
      <w:r w:rsidRPr="007F7541">
        <w:rPr>
          <w:rFonts w:ascii="Cambria" w:hAnsi="Cambria"/>
          <w:sz w:val="22"/>
        </w:rPr>
        <w:t xml:space="preserve">To evangelical rhetorician Mark Steiner, evangelical Christians ought not shirk their responsibility to engage their ideals with the broader public. The “contours” of Steiner’s model of “faithful witness” include “corrective emphases (the fallenness of the human condition, the need for epistemological modesty, the limits of persuasion, and the need for political modesty) and its unique affirmations (the concern for truth and God’s glory, the embrace of complexity and mystery, and a respect for the importance of ethos)” (p. 289). </w:t>
      </w:r>
    </w:p>
    <w:p w14:paraId="72AB7270" w14:textId="77777777" w:rsidR="00616594" w:rsidRPr="007F7541" w:rsidRDefault="00616594" w:rsidP="00616594">
      <w:pPr>
        <w:tabs>
          <w:tab w:val="left" w:pos="4500"/>
        </w:tabs>
        <w:spacing w:before="240"/>
        <w:rPr>
          <w:rFonts w:ascii="Cambria" w:hAnsi="Cambria"/>
          <w:bCs/>
          <w:noProof/>
        </w:rPr>
      </w:pPr>
    </w:p>
    <w:p w14:paraId="36521CDD" w14:textId="77777777" w:rsidR="00616594" w:rsidRPr="007F7541" w:rsidRDefault="00616594" w:rsidP="00616594">
      <w:pPr>
        <w:tabs>
          <w:tab w:val="left" w:pos="4500"/>
        </w:tabs>
        <w:spacing w:after="0"/>
        <w:rPr>
          <w:rFonts w:ascii="Cambria" w:hAnsi="Cambria"/>
          <w:bCs/>
          <w:noProof/>
        </w:rPr>
      </w:pPr>
      <w:r w:rsidRPr="007F7541">
        <w:rPr>
          <w:rFonts w:ascii="Cambria" w:hAnsi="Cambria"/>
          <w:bCs/>
          <w:noProof/>
        </w:rPr>
        <w:t xml:space="preserve">Peters, J.D. (2000). </w:t>
      </w:r>
      <w:r w:rsidRPr="007F7541">
        <w:rPr>
          <w:rFonts w:ascii="Cambria" w:hAnsi="Cambria"/>
          <w:bCs/>
          <w:i/>
          <w:noProof/>
        </w:rPr>
        <w:t xml:space="preserve">Speaking into the air: A history of the idea of communication. </w:t>
      </w:r>
      <w:r w:rsidRPr="007F7541">
        <w:rPr>
          <w:rFonts w:ascii="Cambria" w:hAnsi="Cambria"/>
          <w:bCs/>
          <w:noProof/>
        </w:rPr>
        <w:t xml:space="preserve">Chicago, IL: </w:t>
      </w:r>
    </w:p>
    <w:p w14:paraId="072A0C9A" w14:textId="77777777" w:rsidR="00616594" w:rsidRPr="007F7541" w:rsidRDefault="00616594" w:rsidP="00616594">
      <w:pPr>
        <w:rPr>
          <w:rFonts w:ascii="Cambria" w:hAnsi="Cambria"/>
          <w:bCs/>
          <w:noProof/>
        </w:rPr>
      </w:pPr>
      <w:r w:rsidRPr="007F7541">
        <w:rPr>
          <w:rFonts w:ascii="Cambria" w:hAnsi="Cambria"/>
          <w:bCs/>
          <w:noProof/>
        </w:rPr>
        <w:tab/>
        <w:t xml:space="preserve">Chicago University Press (pp. 33-62). </w:t>
      </w:r>
    </w:p>
    <w:p w14:paraId="733219E7" w14:textId="77777777" w:rsidR="00616594" w:rsidRPr="007F7541" w:rsidRDefault="00616594" w:rsidP="00616594">
      <w:pPr>
        <w:pStyle w:val="ListParagraph"/>
        <w:numPr>
          <w:ilvl w:val="0"/>
          <w:numId w:val="1"/>
        </w:numPr>
        <w:rPr>
          <w:rFonts w:ascii="Cambria" w:hAnsi="Cambria"/>
          <w:bCs/>
          <w:noProof/>
          <w:sz w:val="22"/>
        </w:rPr>
      </w:pPr>
      <w:r w:rsidRPr="007F7541">
        <w:rPr>
          <w:rFonts w:ascii="Cambria" w:hAnsi="Cambria"/>
          <w:bCs/>
          <w:noProof/>
          <w:sz w:val="22"/>
        </w:rPr>
        <w:t xml:space="preserve">In his chapter on “dialogue and dissemination,” Peters examines the concept of dialogue through Plato’s </w:t>
      </w:r>
      <w:r w:rsidRPr="007F7541">
        <w:rPr>
          <w:rFonts w:ascii="Cambria" w:hAnsi="Cambria"/>
          <w:bCs/>
          <w:i/>
          <w:noProof/>
          <w:sz w:val="22"/>
        </w:rPr>
        <w:t xml:space="preserve">The Phaedrus </w:t>
      </w:r>
      <w:r w:rsidRPr="007F7541">
        <w:rPr>
          <w:rFonts w:ascii="Cambria" w:hAnsi="Cambria"/>
          <w:bCs/>
          <w:noProof/>
          <w:sz w:val="22"/>
        </w:rPr>
        <w:t xml:space="preserve">and dissemination through the account of Jesus through the synoptic gospels. While many communication scholars have privileged the notion of dialogue or soul-to-soul connection through communication, Peters makes an argument for the ethical superiority of dissemination, or one-to-many communication because it invites participation and ignites relationship without coercion. </w:t>
      </w:r>
    </w:p>
    <w:p w14:paraId="6418A854" w14:textId="77777777" w:rsidR="00616594" w:rsidRPr="007F7541" w:rsidRDefault="00616594" w:rsidP="00616594">
      <w:pPr>
        <w:tabs>
          <w:tab w:val="left" w:pos="720"/>
        </w:tabs>
        <w:spacing w:after="0"/>
        <w:rPr>
          <w:rFonts w:ascii="Cambria" w:hAnsi="Cambria"/>
        </w:rPr>
      </w:pPr>
    </w:p>
    <w:p w14:paraId="20FE90A2" w14:textId="77777777" w:rsidR="00616594" w:rsidRPr="007F7541" w:rsidRDefault="00616594" w:rsidP="00616594">
      <w:pPr>
        <w:tabs>
          <w:tab w:val="left" w:pos="4500"/>
        </w:tabs>
        <w:spacing w:after="0"/>
        <w:rPr>
          <w:rFonts w:ascii="Cambria" w:hAnsi="Cambria"/>
          <w:u w:val="single"/>
        </w:rPr>
      </w:pPr>
    </w:p>
    <w:p w14:paraId="60FF62D4" w14:textId="77777777" w:rsidR="00616594" w:rsidRPr="007F7541" w:rsidRDefault="00616594" w:rsidP="00616594">
      <w:pPr>
        <w:tabs>
          <w:tab w:val="left" w:pos="4500"/>
        </w:tabs>
        <w:spacing w:after="0"/>
        <w:rPr>
          <w:rFonts w:ascii="Cambria" w:hAnsi="Cambria"/>
          <w:b/>
          <w:u w:val="single"/>
        </w:rPr>
      </w:pPr>
      <w:r w:rsidRPr="007F7541">
        <w:rPr>
          <w:rFonts w:ascii="Cambria" w:hAnsi="Cambria"/>
          <w:b/>
          <w:u w:val="single"/>
        </w:rPr>
        <w:lastRenderedPageBreak/>
        <w:t xml:space="preserve">PR please read: </w:t>
      </w:r>
    </w:p>
    <w:p w14:paraId="407F3FE6" w14:textId="77777777" w:rsidR="00616594" w:rsidRPr="007F7541" w:rsidRDefault="00616594" w:rsidP="00616594">
      <w:pPr>
        <w:tabs>
          <w:tab w:val="left" w:pos="4500"/>
        </w:tabs>
        <w:spacing w:after="0"/>
        <w:rPr>
          <w:rFonts w:ascii="Cambria" w:hAnsi="Cambria"/>
        </w:rPr>
      </w:pPr>
      <w:r w:rsidRPr="007F7541">
        <w:rPr>
          <w:rFonts w:ascii="Cambria" w:hAnsi="Cambria"/>
        </w:rPr>
        <w:t>McCown, N. (2014). “Recognizing the Imago Dei in Employee Publics: A Challenge for Christian</w:t>
      </w:r>
    </w:p>
    <w:p w14:paraId="6CC32F12" w14:textId="77777777" w:rsidR="00616594" w:rsidRPr="007F7541" w:rsidRDefault="00616594" w:rsidP="00616594">
      <w:pPr>
        <w:tabs>
          <w:tab w:val="left" w:pos="720"/>
        </w:tabs>
        <w:ind w:left="720"/>
        <w:rPr>
          <w:rFonts w:ascii="Cambria" w:hAnsi="Cambria"/>
        </w:rPr>
      </w:pPr>
      <w:r w:rsidRPr="007F7541">
        <w:rPr>
          <w:rFonts w:ascii="Cambria" w:hAnsi="Cambria"/>
        </w:rPr>
        <w:t>Public Relations Scholars, Faculty, and Practitioners,” Religious Communication Association/National Communication Association conference, Chicago, Ill., November 2014.</w:t>
      </w:r>
    </w:p>
    <w:p w14:paraId="16F1C18C" w14:textId="77777777" w:rsidR="00616594" w:rsidRPr="007F7541" w:rsidRDefault="00616594" w:rsidP="00616594">
      <w:pPr>
        <w:pStyle w:val="ListParagraph"/>
        <w:numPr>
          <w:ilvl w:val="0"/>
          <w:numId w:val="1"/>
        </w:numPr>
        <w:tabs>
          <w:tab w:val="left" w:pos="720"/>
        </w:tabs>
        <w:rPr>
          <w:rFonts w:ascii="Cambria" w:hAnsi="Cambria"/>
          <w:sz w:val="22"/>
        </w:rPr>
      </w:pPr>
      <w:r w:rsidRPr="007F7541">
        <w:rPr>
          <w:rFonts w:ascii="Cambria" w:hAnsi="Cambria"/>
          <w:sz w:val="22"/>
        </w:rPr>
        <w:t xml:space="preserve">McCown suggests that Christian public relations professors employ the Christian concept of </w:t>
      </w:r>
      <w:r w:rsidRPr="007F7541">
        <w:rPr>
          <w:rFonts w:ascii="Cambria" w:hAnsi="Cambria"/>
          <w:i/>
          <w:sz w:val="22"/>
        </w:rPr>
        <w:t xml:space="preserve">imago </w:t>
      </w:r>
      <w:proofErr w:type="spellStart"/>
      <w:r w:rsidRPr="007F7541">
        <w:rPr>
          <w:rFonts w:ascii="Cambria" w:hAnsi="Cambria"/>
          <w:i/>
          <w:sz w:val="22"/>
        </w:rPr>
        <w:t>dei</w:t>
      </w:r>
      <w:proofErr w:type="spellEnd"/>
      <w:r w:rsidRPr="007F7541">
        <w:rPr>
          <w:rFonts w:ascii="Cambria" w:hAnsi="Cambria"/>
          <w:sz w:val="22"/>
        </w:rPr>
        <w:t xml:space="preserve">, or the notion that God made humans in God’s likeness and therefore all humans have value and worth, in the way they teach public relations. First, the concept of </w:t>
      </w:r>
      <w:r w:rsidRPr="007F7541">
        <w:rPr>
          <w:rFonts w:ascii="Cambria" w:hAnsi="Cambria"/>
          <w:i/>
          <w:sz w:val="22"/>
        </w:rPr>
        <w:t xml:space="preserve">imago </w:t>
      </w:r>
      <w:proofErr w:type="spellStart"/>
      <w:r w:rsidRPr="007F7541">
        <w:rPr>
          <w:rFonts w:ascii="Cambria" w:hAnsi="Cambria"/>
          <w:i/>
          <w:sz w:val="22"/>
        </w:rPr>
        <w:t>dei</w:t>
      </w:r>
      <w:proofErr w:type="spellEnd"/>
      <w:r w:rsidRPr="007F7541">
        <w:rPr>
          <w:rFonts w:ascii="Cambria" w:hAnsi="Cambria"/>
          <w:sz w:val="22"/>
        </w:rPr>
        <w:t xml:space="preserve"> encourages the PR student to define excellence in public relations as honoring and valuing each of an organization’s publics. Second, PR practitioners can counsel organizational leaders to make decisions which honor the </w:t>
      </w:r>
      <w:r w:rsidRPr="007F7541">
        <w:rPr>
          <w:rFonts w:ascii="Cambria" w:hAnsi="Cambria"/>
          <w:i/>
          <w:sz w:val="22"/>
        </w:rPr>
        <w:t xml:space="preserve">imago </w:t>
      </w:r>
      <w:proofErr w:type="spellStart"/>
      <w:r w:rsidRPr="007F7541">
        <w:rPr>
          <w:rFonts w:ascii="Cambria" w:hAnsi="Cambria"/>
          <w:i/>
          <w:sz w:val="22"/>
        </w:rPr>
        <w:t>dei</w:t>
      </w:r>
      <w:proofErr w:type="spellEnd"/>
      <w:r w:rsidRPr="007F7541">
        <w:rPr>
          <w:rFonts w:ascii="Cambria" w:hAnsi="Cambria"/>
          <w:sz w:val="22"/>
        </w:rPr>
        <w:t xml:space="preserve"> in internal publics, i.e. employees, as well.</w:t>
      </w:r>
    </w:p>
    <w:p w14:paraId="539AE303" w14:textId="77777777" w:rsidR="00616594" w:rsidRPr="007F7541" w:rsidRDefault="00616594" w:rsidP="00616594">
      <w:pPr>
        <w:tabs>
          <w:tab w:val="left" w:pos="4500"/>
        </w:tabs>
        <w:spacing w:after="0"/>
        <w:rPr>
          <w:rFonts w:ascii="Cambria" w:hAnsi="Cambria"/>
        </w:rPr>
      </w:pPr>
    </w:p>
    <w:p w14:paraId="7803CB0B" w14:textId="77777777" w:rsidR="00616594" w:rsidRPr="007F7541" w:rsidRDefault="00616594" w:rsidP="00616594">
      <w:pPr>
        <w:tabs>
          <w:tab w:val="left" w:pos="4500"/>
        </w:tabs>
        <w:spacing w:after="0"/>
        <w:rPr>
          <w:rFonts w:ascii="Cambria" w:hAnsi="Cambria"/>
        </w:rPr>
      </w:pPr>
      <w:r w:rsidRPr="007F7541">
        <w:rPr>
          <w:rFonts w:ascii="Cambria" w:hAnsi="Cambria"/>
        </w:rPr>
        <w:t xml:space="preserve">Shin, J. (2008). Contingency, conflict, crisis: Strategy selection of religious public relations </w:t>
      </w:r>
    </w:p>
    <w:p w14:paraId="449166D9" w14:textId="77777777" w:rsidR="00616594" w:rsidRPr="007F7541" w:rsidRDefault="00616594" w:rsidP="00616594">
      <w:pPr>
        <w:ind w:firstLine="720"/>
        <w:rPr>
          <w:rFonts w:ascii="Cambria" w:hAnsi="Cambria"/>
        </w:rPr>
      </w:pPr>
      <w:r w:rsidRPr="007F7541">
        <w:rPr>
          <w:rFonts w:ascii="Cambria" w:hAnsi="Cambria"/>
        </w:rPr>
        <w:t xml:space="preserve">professionals. </w:t>
      </w:r>
      <w:r w:rsidRPr="007F7541">
        <w:rPr>
          <w:rFonts w:ascii="Cambria" w:hAnsi="Cambria"/>
          <w:i/>
          <w:iCs/>
        </w:rPr>
        <w:t>Public Relations Review, 34</w:t>
      </w:r>
      <w:r w:rsidRPr="007F7541">
        <w:rPr>
          <w:rFonts w:ascii="Cambria" w:hAnsi="Cambria"/>
        </w:rPr>
        <w:t xml:space="preserve">(4), 403-405. </w:t>
      </w:r>
    </w:p>
    <w:p w14:paraId="1923646E" w14:textId="77777777" w:rsidR="00616594" w:rsidRPr="007F7541" w:rsidRDefault="00616594" w:rsidP="00616594">
      <w:pPr>
        <w:pStyle w:val="ListParagraph"/>
        <w:numPr>
          <w:ilvl w:val="0"/>
          <w:numId w:val="1"/>
        </w:numPr>
        <w:rPr>
          <w:rFonts w:ascii="Cambria" w:hAnsi="Cambria"/>
          <w:sz w:val="22"/>
        </w:rPr>
      </w:pPr>
      <w:r w:rsidRPr="007F7541">
        <w:rPr>
          <w:rFonts w:ascii="Cambria" w:hAnsi="Cambria"/>
          <w:sz w:val="22"/>
        </w:rPr>
        <w:t xml:space="preserve">Shin reports the findings of a survey of religious PR practitioners working for mainstream Protestant churches with the goal of understanding their approaches to organizational conflict and crisis. Shin found that respondents tended to employ collaborating, contending, or compromising in conflicts with external publics, and they use concession or corrective action in crisis situations. </w:t>
      </w:r>
    </w:p>
    <w:p w14:paraId="7DD0A261" w14:textId="77777777" w:rsidR="00616594" w:rsidRPr="007F7541" w:rsidRDefault="00616594" w:rsidP="00616594">
      <w:pPr>
        <w:spacing w:after="0"/>
        <w:rPr>
          <w:rFonts w:ascii="Cambria" w:hAnsi="Cambria"/>
        </w:rPr>
      </w:pPr>
    </w:p>
    <w:p w14:paraId="47F25BF3" w14:textId="77777777" w:rsidR="00616594" w:rsidRPr="007F7541" w:rsidRDefault="00616594" w:rsidP="00616594">
      <w:pPr>
        <w:spacing w:after="0"/>
        <w:rPr>
          <w:rFonts w:ascii="Cambria" w:hAnsi="Cambria"/>
          <w:b/>
          <w:bCs/>
        </w:rPr>
      </w:pPr>
      <w:r w:rsidRPr="007F7541">
        <w:rPr>
          <w:rFonts w:ascii="Cambria" w:hAnsi="Cambria"/>
        </w:rPr>
        <w:t xml:space="preserve">Tilson, D. J. (2011). Public relations and religious diversity: A conceptual framework for fostering a spirit of </w:t>
      </w:r>
      <w:proofErr w:type="spellStart"/>
      <w:r w:rsidRPr="007F7541">
        <w:rPr>
          <w:rFonts w:ascii="Cambria" w:hAnsi="Cambria"/>
        </w:rPr>
        <w:t>communitas</w:t>
      </w:r>
      <w:proofErr w:type="spellEnd"/>
      <w:r w:rsidRPr="007F7541">
        <w:rPr>
          <w:rFonts w:ascii="Cambria" w:hAnsi="Cambria"/>
        </w:rPr>
        <w:t xml:space="preserve">. </w:t>
      </w:r>
      <w:r w:rsidRPr="007F7541">
        <w:rPr>
          <w:rFonts w:ascii="Cambria" w:hAnsi="Cambria"/>
          <w:i/>
          <w:iCs/>
        </w:rPr>
        <w:t xml:space="preserve">Journal of Global </w:t>
      </w:r>
      <w:proofErr w:type="gramStart"/>
      <w:r w:rsidRPr="007F7541">
        <w:rPr>
          <w:rFonts w:ascii="Cambria" w:hAnsi="Cambria"/>
          <w:i/>
          <w:iCs/>
        </w:rPr>
        <w:t>Media  4</w:t>
      </w:r>
      <w:proofErr w:type="gramEnd"/>
      <w:r w:rsidRPr="007F7541">
        <w:rPr>
          <w:rFonts w:ascii="Cambria" w:hAnsi="Cambria"/>
        </w:rPr>
        <w:t>(1), 43-60.</w:t>
      </w:r>
    </w:p>
    <w:p w14:paraId="37BE44BB" w14:textId="77777777" w:rsidR="00616594" w:rsidRPr="007F7541" w:rsidRDefault="00616594" w:rsidP="00616594">
      <w:pPr>
        <w:spacing w:after="0"/>
        <w:rPr>
          <w:rFonts w:ascii="Cambria" w:hAnsi="Cambria"/>
        </w:rPr>
      </w:pPr>
    </w:p>
    <w:p w14:paraId="195F9067" w14:textId="77777777" w:rsidR="00616594" w:rsidRPr="007F7541" w:rsidRDefault="00616594" w:rsidP="00616594">
      <w:pPr>
        <w:pStyle w:val="ListParagraph"/>
        <w:numPr>
          <w:ilvl w:val="0"/>
          <w:numId w:val="1"/>
        </w:numPr>
        <w:rPr>
          <w:rFonts w:ascii="Cambria" w:hAnsi="Cambria"/>
          <w:sz w:val="22"/>
        </w:rPr>
      </w:pPr>
      <w:r w:rsidRPr="007F7541">
        <w:rPr>
          <w:rFonts w:ascii="Cambria" w:hAnsi="Cambria"/>
          <w:sz w:val="22"/>
        </w:rPr>
        <w:t xml:space="preserve">Changes in immigration law, globalization and increased ease of transportation have transformed modern societies into culturally diverse landscapes with religious diversity, in particular, presenting both opportunities and challenges. The author proposes a conceptual framework that embraces an interpretation of public relations as a social function, a </w:t>
      </w:r>
      <w:r w:rsidRPr="007F7541">
        <w:rPr>
          <w:rFonts w:ascii="Cambria" w:hAnsi="Cambria"/>
          <w:i/>
          <w:iCs/>
          <w:sz w:val="22"/>
        </w:rPr>
        <w:t xml:space="preserve">covenantal </w:t>
      </w:r>
      <w:r w:rsidRPr="007F7541">
        <w:rPr>
          <w:rFonts w:ascii="Cambria" w:hAnsi="Cambria"/>
          <w:sz w:val="22"/>
        </w:rPr>
        <w:t xml:space="preserve">model as a theoretical ground, an expanded </w:t>
      </w:r>
      <w:r w:rsidRPr="007F7541">
        <w:rPr>
          <w:rFonts w:ascii="Cambria" w:hAnsi="Cambria"/>
          <w:i/>
          <w:iCs/>
          <w:sz w:val="22"/>
        </w:rPr>
        <w:t xml:space="preserve">worldview </w:t>
      </w:r>
      <w:r w:rsidRPr="007F7541">
        <w:rPr>
          <w:rFonts w:ascii="Cambria" w:hAnsi="Cambria"/>
          <w:sz w:val="22"/>
        </w:rPr>
        <w:t>to include tolerance as an essential defining presupposition, and expanded communicative conceptual parameters that include religion in definitions of diversity and generic principles of excellent practice. An anecdotal review of faith communities in the U.S. reveals that public relations professionals and other communicators model the conceptual framework in interfaith initiatives and that the framework would serve as a helpful foundation for guiding communication professionals toward such behavior. The study also illustrates that socially-responsible behavior often has a foundation of faith common across various faith traditions.</w:t>
      </w:r>
    </w:p>
    <w:p w14:paraId="02338A6D" w14:textId="77777777" w:rsidR="00616594" w:rsidRPr="007F7541" w:rsidRDefault="00616594" w:rsidP="00616594">
      <w:pPr>
        <w:spacing w:before="240"/>
        <w:rPr>
          <w:rFonts w:ascii="Cambria" w:hAnsi="Cambria"/>
        </w:rPr>
      </w:pPr>
    </w:p>
    <w:p w14:paraId="0E522442" w14:textId="77777777" w:rsidR="00616594" w:rsidRPr="007F7541" w:rsidRDefault="00616594" w:rsidP="00616594">
      <w:pPr>
        <w:spacing w:after="0"/>
        <w:rPr>
          <w:rFonts w:ascii="Cambria" w:hAnsi="Cambria"/>
        </w:rPr>
      </w:pPr>
    </w:p>
    <w:p w14:paraId="0045B559" w14:textId="77777777" w:rsidR="00616594" w:rsidRPr="007F7541" w:rsidRDefault="00616594" w:rsidP="00616594">
      <w:pPr>
        <w:tabs>
          <w:tab w:val="left" w:pos="4500"/>
        </w:tabs>
        <w:spacing w:after="0"/>
        <w:rPr>
          <w:rFonts w:ascii="Cambria" w:hAnsi="Cambria"/>
          <w:b/>
          <w:u w:val="single"/>
        </w:rPr>
      </w:pPr>
      <w:r w:rsidRPr="007F7541">
        <w:rPr>
          <w:rFonts w:ascii="Cambria" w:hAnsi="Cambria"/>
          <w:b/>
          <w:u w:val="single"/>
        </w:rPr>
        <w:t xml:space="preserve">JOUR and BRMP please read: </w:t>
      </w:r>
    </w:p>
    <w:p w14:paraId="0D4AD8BF" w14:textId="77777777" w:rsidR="00616594" w:rsidRPr="007F7541" w:rsidRDefault="00616594" w:rsidP="00616594">
      <w:pPr>
        <w:tabs>
          <w:tab w:val="left" w:pos="4500"/>
        </w:tabs>
        <w:spacing w:after="0"/>
        <w:rPr>
          <w:rFonts w:ascii="Cambria" w:hAnsi="Cambria"/>
        </w:rPr>
      </w:pPr>
      <w:r w:rsidRPr="007F7541">
        <w:rPr>
          <w:rFonts w:ascii="Cambria" w:hAnsi="Cambria"/>
        </w:rPr>
        <w:t xml:space="preserve">Cali, D. (Ed.) (2010). </w:t>
      </w:r>
      <w:r w:rsidRPr="007F7541">
        <w:rPr>
          <w:rFonts w:ascii="Cambria" w:hAnsi="Cambria"/>
          <w:i/>
          <w:iCs/>
        </w:rPr>
        <w:t xml:space="preserve">Faith and the media: Reflections by Christian communicators. </w:t>
      </w:r>
      <w:r w:rsidRPr="007F7541">
        <w:rPr>
          <w:rFonts w:ascii="Cambria" w:hAnsi="Cambria"/>
        </w:rPr>
        <w:t xml:space="preserve">Mahwah, NJ: </w:t>
      </w:r>
    </w:p>
    <w:p w14:paraId="0B69E0D2" w14:textId="77777777" w:rsidR="00616594" w:rsidRPr="007F7541" w:rsidRDefault="00616594" w:rsidP="00616594">
      <w:pPr>
        <w:rPr>
          <w:rFonts w:ascii="Cambria" w:hAnsi="Cambria"/>
        </w:rPr>
      </w:pPr>
      <w:r w:rsidRPr="007F7541">
        <w:rPr>
          <w:rFonts w:ascii="Cambria" w:hAnsi="Cambria"/>
        </w:rPr>
        <w:t xml:space="preserve">Paulist Press. (pp. 18-33). </w:t>
      </w:r>
    </w:p>
    <w:p w14:paraId="77E29A70" w14:textId="77777777" w:rsidR="00616594" w:rsidRPr="007F7541" w:rsidRDefault="00616594" w:rsidP="00616594">
      <w:pPr>
        <w:pStyle w:val="ListParagraph"/>
        <w:numPr>
          <w:ilvl w:val="0"/>
          <w:numId w:val="1"/>
        </w:numPr>
        <w:rPr>
          <w:rFonts w:ascii="Cambria" w:hAnsi="Cambria"/>
          <w:sz w:val="22"/>
        </w:rPr>
      </w:pPr>
      <w:r w:rsidRPr="007F7541">
        <w:rPr>
          <w:rFonts w:ascii="Cambria" w:hAnsi="Cambria"/>
          <w:sz w:val="22"/>
        </w:rPr>
        <w:t xml:space="preserve">Chapter 2 is written by journalist and director of </w:t>
      </w:r>
      <w:proofErr w:type="spellStart"/>
      <w:r w:rsidRPr="007F7541">
        <w:rPr>
          <w:rFonts w:ascii="Cambria" w:hAnsi="Cambria"/>
          <w:sz w:val="22"/>
        </w:rPr>
        <w:t>NetOne</w:t>
      </w:r>
      <w:proofErr w:type="spellEnd"/>
      <w:r w:rsidRPr="007F7541">
        <w:rPr>
          <w:rFonts w:ascii="Cambria" w:hAnsi="Cambria"/>
          <w:sz w:val="22"/>
        </w:rPr>
        <w:t xml:space="preserve"> in Rome, Michele </w:t>
      </w:r>
      <w:proofErr w:type="spellStart"/>
      <w:r w:rsidRPr="007F7541">
        <w:rPr>
          <w:rFonts w:ascii="Cambria" w:hAnsi="Cambria"/>
          <w:sz w:val="22"/>
        </w:rPr>
        <w:t>Zanzucchi</w:t>
      </w:r>
      <w:proofErr w:type="spellEnd"/>
      <w:r w:rsidRPr="007F7541">
        <w:rPr>
          <w:rFonts w:ascii="Cambria" w:hAnsi="Cambria"/>
          <w:sz w:val="22"/>
        </w:rPr>
        <w:t xml:space="preserve">. </w:t>
      </w:r>
      <w:proofErr w:type="spellStart"/>
      <w:r w:rsidRPr="007F7541">
        <w:rPr>
          <w:rFonts w:ascii="Cambria" w:hAnsi="Cambria"/>
          <w:sz w:val="22"/>
        </w:rPr>
        <w:t>Zanzucchi</w:t>
      </w:r>
      <w:proofErr w:type="spellEnd"/>
      <w:r w:rsidRPr="007F7541">
        <w:rPr>
          <w:rFonts w:ascii="Cambria" w:hAnsi="Cambria"/>
          <w:sz w:val="22"/>
        </w:rPr>
        <w:t xml:space="preserve"> explains the way in which the Trinity, Jesus on the cross, and </w:t>
      </w:r>
      <w:r w:rsidRPr="007F7541">
        <w:rPr>
          <w:rFonts w:ascii="Cambria" w:hAnsi="Cambria"/>
          <w:sz w:val="22"/>
        </w:rPr>
        <w:lastRenderedPageBreak/>
        <w:t xml:space="preserve">Mary at the foot of the cross represent central ideas of </w:t>
      </w:r>
      <w:proofErr w:type="spellStart"/>
      <w:r w:rsidRPr="007F7541">
        <w:rPr>
          <w:rFonts w:ascii="Cambria" w:hAnsi="Cambria"/>
          <w:sz w:val="22"/>
        </w:rPr>
        <w:t>NetOne</w:t>
      </w:r>
      <w:proofErr w:type="spellEnd"/>
      <w:r w:rsidRPr="007F7541">
        <w:rPr>
          <w:rFonts w:ascii="Cambria" w:hAnsi="Cambria"/>
          <w:sz w:val="22"/>
        </w:rPr>
        <w:t xml:space="preserve">, which </w:t>
      </w:r>
      <w:proofErr w:type="spellStart"/>
      <w:r w:rsidRPr="007F7541">
        <w:rPr>
          <w:rFonts w:ascii="Cambria" w:hAnsi="Cambria"/>
          <w:sz w:val="22"/>
        </w:rPr>
        <w:t>Zanzucchi</w:t>
      </w:r>
      <w:proofErr w:type="spellEnd"/>
      <w:r w:rsidRPr="007F7541">
        <w:rPr>
          <w:rFonts w:ascii="Cambria" w:hAnsi="Cambria"/>
          <w:sz w:val="22"/>
        </w:rPr>
        <w:t xml:space="preserve"> characterizes as “the essential mysteries of the Christian faith.” </w:t>
      </w:r>
    </w:p>
    <w:p w14:paraId="4B4BBA8B" w14:textId="77777777" w:rsidR="00616594" w:rsidRPr="007F7541" w:rsidRDefault="00616594" w:rsidP="00616594">
      <w:pPr>
        <w:tabs>
          <w:tab w:val="left" w:pos="4500"/>
        </w:tabs>
        <w:spacing w:after="0"/>
        <w:rPr>
          <w:rFonts w:ascii="Cambria" w:hAnsi="Cambria"/>
        </w:rPr>
      </w:pPr>
    </w:p>
    <w:p w14:paraId="3340432F" w14:textId="77777777" w:rsidR="00616594" w:rsidRPr="007F7541" w:rsidRDefault="00616594" w:rsidP="00616594">
      <w:pPr>
        <w:spacing w:after="0"/>
        <w:rPr>
          <w:rFonts w:ascii="Cambria" w:hAnsi="Cambria"/>
          <w:i/>
        </w:rPr>
      </w:pPr>
      <w:proofErr w:type="spellStart"/>
      <w:r w:rsidRPr="007F7541">
        <w:rPr>
          <w:rFonts w:ascii="Cambria" w:hAnsi="Cambria"/>
        </w:rPr>
        <w:t>Schmalzbauer</w:t>
      </w:r>
      <w:proofErr w:type="spellEnd"/>
      <w:r w:rsidRPr="007F7541">
        <w:rPr>
          <w:rFonts w:ascii="Cambria" w:hAnsi="Cambria"/>
        </w:rPr>
        <w:t xml:space="preserve">, John. </w:t>
      </w:r>
      <w:r w:rsidRPr="007F7541">
        <w:rPr>
          <w:rFonts w:ascii="Cambria" w:hAnsi="Cambria"/>
          <w:i/>
        </w:rPr>
        <w:t xml:space="preserve">People of Faith: Religious Conviction in American Journalism and Higher </w:t>
      </w:r>
    </w:p>
    <w:p w14:paraId="435E3000" w14:textId="77777777" w:rsidR="00616594" w:rsidRPr="007F7541" w:rsidRDefault="00616594" w:rsidP="00616594">
      <w:pPr>
        <w:ind w:firstLine="720"/>
        <w:rPr>
          <w:rFonts w:ascii="Cambria" w:hAnsi="Cambria"/>
        </w:rPr>
      </w:pPr>
      <w:r w:rsidRPr="007F7541">
        <w:rPr>
          <w:rFonts w:ascii="Cambria" w:hAnsi="Cambria"/>
          <w:i/>
        </w:rPr>
        <w:t>Education</w:t>
      </w:r>
      <w:r w:rsidRPr="007F7541">
        <w:rPr>
          <w:rFonts w:ascii="Cambria" w:hAnsi="Cambria"/>
        </w:rPr>
        <w:t>. Ithaca, New York: Cornell University Press, 2003.</w:t>
      </w:r>
    </w:p>
    <w:p w14:paraId="0F64463F" w14:textId="77777777" w:rsidR="00616594" w:rsidRPr="007F7541" w:rsidRDefault="00616594" w:rsidP="00616594">
      <w:pPr>
        <w:pStyle w:val="ListParagraph"/>
        <w:numPr>
          <w:ilvl w:val="0"/>
          <w:numId w:val="1"/>
        </w:numPr>
        <w:rPr>
          <w:rFonts w:ascii="Cambria" w:hAnsi="Cambria"/>
          <w:sz w:val="22"/>
        </w:rPr>
      </w:pPr>
      <w:r w:rsidRPr="007F7541">
        <w:rPr>
          <w:rFonts w:ascii="Cambria" w:hAnsi="Cambria"/>
          <w:sz w:val="22"/>
        </w:rPr>
        <w:t xml:space="preserve">Ch. 3 Faith in Journalism (pp. 44-72): Using the examples of working journalists of faith, </w:t>
      </w:r>
      <w:proofErr w:type="spellStart"/>
      <w:r w:rsidRPr="007F7541">
        <w:rPr>
          <w:rFonts w:ascii="Cambria" w:hAnsi="Cambria"/>
          <w:sz w:val="22"/>
        </w:rPr>
        <w:t>Schmalzbauer</w:t>
      </w:r>
      <w:proofErr w:type="spellEnd"/>
      <w:r w:rsidRPr="007F7541">
        <w:rPr>
          <w:rFonts w:ascii="Cambria" w:hAnsi="Cambria"/>
          <w:sz w:val="22"/>
        </w:rPr>
        <w:t xml:space="preserve"> identifies a variety of ways these professionals relate their faith to their practice of the craft. Strategies include using privatization, multivocal bridging and the </w:t>
      </w:r>
      <w:proofErr w:type="spellStart"/>
      <w:r w:rsidRPr="007F7541">
        <w:rPr>
          <w:rFonts w:ascii="Cambria" w:hAnsi="Cambria"/>
          <w:sz w:val="22"/>
        </w:rPr>
        <w:t>rherotic</w:t>
      </w:r>
      <w:proofErr w:type="spellEnd"/>
      <w:r w:rsidRPr="007F7541">
        <w:rPr>
          <w:rFonts w:ascii="Cambria" w:hAnsi="Cambria"/>
          <w:sz w:val="22"/>
        </w:rPr>
        <w:t xml:space="preserve"> of objectivity. This chapter suggests a variety of ways of navigating the tension between professionalism and religious commitment in journalism.</w:t>
      </w:r>
    </w:p>
    <w:p w14:paraId="14E794FD" w14:textId="77777777" w:rsidR="00616594" w:rsidRPr="007F7541" w:rsidRDefault="00616594" w:rsidP="00616594">
      <w:pPr>
        <w:pStyle w:val="ListParagraph"/>
        <w:numPr>
          <w:ilvl w:val="0"/>
          <w:numId w:val="1"/>
        </w:numPr>
        <w:rPr>
          <w:rFonts w:ascii="Cambria" w:hAnsi="Cambria"/>
          <w:sz w:val="22"/>
        </w:rPr>
      </w:pPr>
      <w:r w:rsidRPr="007F7541">
        <w:rPr>
          <w:rFonts w:ascii="Cambria" w:hAnsi="Cambria"/>
          <w:sz w:val="22"/>
        </w:rPr>
        <w:t xml:space="preserve">Ch. 5 Journalism and the Religious Imagination (pp. 110-145): </w:t>
      </w:r>
      <w:proofErr w:type="spellStart"/>
      <w:r w:rsidRPr="007F7541">
        <w:rPr>
          <w:rFonts w:ascii="Cambria" w:hAnsi="Cambria"/>
          <w:sz w:val="22"/>
        </w:rPr>
        <w:t>Schmalzbauer</w:t>
      </w:r>
      <w:proofErr w:type="spellEnd"/>
      <w:r w:rsidRPr="007F7541">
        <w:rPr>
          <w:rFonts w:ascii="Cambria" w:hAnsi="Cambria"/>
          <w:sz w:val="22"/>
        </w:rPr>
        <w:t xml:space="preserve"> argues that journalists from Catholic and Evangelical religious tell stories that embody their own theological assumptions. He suggests that different theological emphases result in different kinds of stories being told. This chapter suggests subtle but significant ways in which theological understanding is connected to journalistic content, not just to the practice of journalism.</w:t>
      </w:r>
    </w:p>
    <w:p w14:paraId="134B66EF" w14:textId="77777777" w:rsidR="00616594" w:rsidRPr="007F7541" w:rsidRDefault="00616594" w:rsidP="00616594">
      <w:pPr>
        <w:tabs>
          <w:tab w:val="left" w:pos="4500"/>
        </w:tabs>
        <w:spacing w:before="240"/>
        <w:rPr>
          <w:rFonts w:ascii="Cambria" w:hAnsi="Cambria"/>
          <w:u w:val="single"/>
        </w:rPr>
      </w:pPr>
    </w:p>
    <w:p w14:paraId="4EB89B11" w14:textId="77777777" w:rsidR="00616594" w:rsidRPr="007F7541" w:rsidRDefault="00616594" w:rsidP="00616594">
      <w:pPr>
        <w:tabs>
          <w:tab w:val="left" w:pos="4500"/>
        </w:tabs>
        <w:spacing w:after="0"/>
        <w:rPr>
          <w:rFonts w:ascii="Cambria" w:hAnsi="Cambria"/>
          <w:b/>
          <w:u w:val="single"/>
        </w:rPr>
      </w:pPr>
      <w:r w:rsidRPr="007F7541">
        <w:rPr>
          <w:rFonts w:ascii="Cambria" w:hAnsi="Cambria"/>
          <w:b/>
          <w:u w:val="single"/>
        </w:rPr>
        <w:t xml:space="preserve">FAMA and DIGM please read: </w:t>
      </w:r>
    </w:p>
    <w:p w14:paraId="1B21B684" w14:textId="77777777" w:rsidR="00616594" w:rsidRPr="007F7541" w:rsidRDefault="00616594" w:rsidP="00616594">
      <w:pPr>
        <w:tabs>
          <w:tab w:val="left" w:pos="4500"/>
        </w:tabs>
        <w:spacing w:after="0"/>
        <w:rPr>
          <w:rFonts w:ascii="Cambria" w:hAnsi="Cambria"/>
        </w:rPr>
      </w:pPr>
      <w:r w:rsidRPr="007F7541">
        <w:rPr>
          <w:rFonts w:ascii="Cambria" w:hAnsi="Cambria"/>
        </w:rPr>
        <w:t xml:space="preserve">Cali, D. (Ed.) (2010). </w:t>
      </w:r>
      <w:r w:rsidRPr="007F7541">
        <w:rPr>
          <w:rFonts w:ascii="Cambria" w:hAnsi="Cambria"/>
          <w:i/>
          <w:iCs/>
        </w:rPr>
        <w:t xml:space="preserve">Faith and the media: Reflections by Christian communicators. </w:t>
      </w:r>
      <w:r w:rsidRPr="007F7541">
        <w:rPr>
          <w:rFonts w:ascii="Cambria" w:hAnsi="Cambria"/>
        </w:rPr>
        <w:t xml:space="preserve">Mahwah, NJ: </w:t>
      </w:r>
    </w:p>
    <w:p w14:paraId="7763A989" w14:textId="77777777" w:rsidR="00616594" w:rsidRPr="007F7541" w:rsidRDefault="00616594" w:rsidP="00616594">
      <w:pPr>
        <w:tabs>
          <w:tab w:val="left" w:pos="720"/>
        </w:tabs>
        <w:rPr>
          <w:rFonts w:ascii="Cambria" w:hAnsi="Cambria"/>
        </w:rPr>
      </w:pPr>
      <w:r w:rsidRPr="007F7541">
        <w:rPr>
          <w:rFonts w:ascii="Cambria" w:hAnsi="Cambria"/>
        </w:rPr>
        <w:tab/>
        <w:t xml:space="preserve">Paulist Press (pp. 34-48, 51-60). </w:t>
      </w:r>
    </w:p>
    <w:p w14:paraId="456BE6D4" w14:textId="77777777" w:rsidR="00616594" w:rsidRPr="007F7541" w:rsidRDefault="00616594" w:rsidP="00616594">
      <w:pPr>
        <w:pStyle w:val="ListParagraph"/>
        <w:numPr>
          <w:ilvl w:val="0"/>
          <w:numId w:val="2"/>
        </w:numPr>
        <w:tabs>
          <w:tab w:val="left" w:pos="720"/>
        </w:tabs>
        <w:rPr>
          <w:rFonts w:ascii="Cambria" w:hAnsi="Cambria"/>
          <w:sz w:val="22"/>
        </w:rPr>
      </w:pPr>
      <w:r w:rsidRPr="007F7541">
        <w:rPr>
          <w:rFonts w:ascii="Cambria" w:hAnsi="Cambria"/>
          <w:sz w:val="22"/>
        </w:rPr>
        <w:t xml:space="preserve">Chapter 3 is titled “It takes a community: Supporting vocations in the arts and media.”  Author Barbara Nicolosi explains lessons she learned as founder and director of Act One in Hollywood. Calling for a “return to a real dialogue” between the church and the arts, Nicolosi probes the meaning, role, and ends of beauty in art and argues for the importance of “creative communities” in nurturing the arts; Chapter 4 is titled “The vocation to mediate.” Author Edward J. Murray, President and CEO of Faith and Values Media, explores the topics of vocation, morality, and media, suggesting that the media practitioner’s key role is to “mediate grace” by narrating for culture verities such as “truth, acts, art, beauty, human possibilities, wonder, threat, possibility” (p. 55). </w:t>
      </w:r>
    </w:p>
    <w:p w14:paraId="578328CF" w14:textId="77777777" w:rsidR="00616594" w:rsidRPr="007F7541" w:rsidRDefault="00616594" w:rsidP="00616594">
      <w:pPr>
        <w:tabs>
          <w:tab w:val="left" w:pos="4500"/>
        </w:tabs>
        <w:spacing w:after="0"/>
        <w:rPr>
          <w:rFonts w:ascii="Cambria" w:hAnsi="Cambria"/>
        </w:rPr>
      </w:pPr>
    </w:p>
    <w:p w14:paraId="5DC16636" w14:textId="77777777" w:rsidR="00616594" w:rsidRPr="007F7541" w:rsidRDefault="00616594" w:rsidP="00616594">
      <w:pPr>
        <w:tabs>
          <w:tab w:val="left" w:pos="4500"/>
        </w:tabs>
        <w:spacing w:after="0"/>
        <w:rPr>
          <w:rFonts w:ascii="Cambria" w:hAnsi="Cambria"/>
        </w:rPr>
      </w:pPr>
      <w:r w:rsidRPr="007F7541">
        <w:rPr>
          <w:rFonts w:ascii="Cambria" w:hAnsi="Cambria"/>
        </w:rPr>
        <w:t xml:space="preserve">Romanowski, W.D. (2007). </w:t>
      </w:r>
      <w:r w:rsidRPr="007F7541">
        <w:rPr>
          <w:rFonts w:ascii="Cambria" w:hAnsi="Cambria"/>
          <w:i/>
        </w:rPr>
        <w:t>Eyes wide open: Looking for God in Popular Culture.</w:t>
      </w:r>
      <w:r w:rsidRPr="007F7541">
        <w:rPr>
          <w:rFonts w:ascii="Cambria" w:hAnsi="Cambria"/>
        </w:rPr>
        <w:t xml:space="preserve"> Grand Rapids, MI: </w:t>
      </w:r>
    </w:p>
    <w:p w14:paraId="5F7B1DBA" w14:textId="77777777" w:rsidR="00616594" w:rsidRPr="007F7541" w:rsidRDefault="00616594" w:rsidP="00616594">
      <w:pPr>
        <w:tabs>
          <w:tab w:val="left" w:pos="720"/>
        </w:tabs>
        <w:rPr>
          <w:rFonts w:ascii="Cambria" w:hAnsi="Cambria"/>
        </w:rPr>
      </w:pPr>
      <w:r w:rsidRPr="007F7541">
        <w:rPr>
          <w:rFonts w:ascii="Cambria" w:hAnsi="Cambria"/>
        </w:rPr>
        <w:t xml:space="preserve">Baker (pp. 105-123). </w:t>
      </w:r>
    </w:p>
    <w:p w14:paraId="113048EE" w14:textId="77777777" w:rsidR="00616594" w:rsidRPr="007F7541" w:rsidRDefault="00616594" w:rsidP="00616594">
      <w:pPr>
        <w:pStyle w:val="ListParagraph"/>
        <w:numPr>
          <w:ilvl w:val="0"/>
          <w:numId w:val="2"/>
        </w:numPr>
        <w:tabs>
          <w:tab w:val="left" w:pos="720"/>
        </w:tabs>
        <w:rPr>
          <w:rFonts w:ascii="Cambria" w:hAnsi="Cambria"/>
          <w:sz w:val="22"/>
        </w:rPr>
      </w:pPr>
      <w:r w:rsidRPr="007F7541">
        <w:rPr>
          <w:rFonts w:ascii="Cambria" w:hAnsi="Cambria"/>
          <w:sz w:val="22"/>
        </w:rPr>
        <w:t xml:space="preserve">Romanowski proposes methods for viewing and engaging popular culture which are grounded in a Christian perspective. In his chapter titled “Measuring Christian Distinction,” Romanowski reviews three common Christian approaches to critiquing popular culture: moral, ideological, and theological. </w:t>
      </w:r>
    </w:p>
    <w:p w14:paraId="046A9C92" w14:textId="77777777" w:rsidR="00616594" w:rsidRPr="007F7541" w:rsidRDefault="00616594" w:rsidP="00616594">
      <w:pPr>
        <w:tabs>
          <w:tab w:val="left" w:pos="720"/>
        </w:tabs>
        <w:spacing w:after="0"/>
        <w:rPr>
          <w:rFonts w:ascii="Cambria" w:hAnsi="Cambria"/>
        </w:rPr>
      </w:pPr>
    </w:p>
    <w:p w14:paraId="090532CE" w14:textId="77777777" w:rsidR="00616594" w:rsidRPr="007F7541" w:rsidRDefault="00616594" w:rsidP="00616594">
      <w:pPr>
        <w:tabs>
          <w:tab w:val="left" w:pos="720"/>
        </w:tabs>
        <w:rPr>
          <w:rFonts w:ascii="Cambria" w:hAnsi="Cambria"/>
        </w:rPr>
      </w:pPr>
      <w:proofErr w:type="spellStart"/>
      <w:r w:rsidRPr="007F7541">
        <w:rPr>
          <w:rFonts w:ascii="Cambria" w:hAnsi="Cambria"/>
        </w:rPr>
        <w:t>Lyden</w:t>
      </w:r>
      <w:proofErr w:type="spellEnd"/>
      <w:r w:rsidRPr="007F7541">
        <w:rPr>
          <w:rFonts w:ascii="Cambria" w:hAnsi="Cambria"/>
        </w:rPr>
        <w:t xml:space="preserve">, J.C. (2003). “Existing Approaches to Religion and Film” (Chapter 1, pp. 11-35). </w:t>
      </w:r>
      <w:r w:rsidRPr="007F7541">
        <w:rPr>
          <w:rFonts w:ascii="Cambria" w:hAnsi="Cambria"/>
          <w:i/>
        </w:rPr>
        <w:t xml:space="preserve">Film as religion: Myths, morals, and rituals. </w:t>
      </w:r>
      <w:r w:rsidRPr="007F7541">
        <w:rPr>
          <w:rFonts w:ascii="Cambria" w:hAnsi="Cambria"/>
        </w:rPr>
        <w:t xml:space="preserve">New York: New York University Press. </w:t>
      </w:r>
    </w:p>
    <w:p w14:paraId="277AD14B" w14:textId="77777777" w:rsidR="00616594" w:rsidRPr="007F7541" w:rsidRDefault="00616594" w:rsidP="00616594">
      <w:pPr>
        <w:pStyle w:val="ListParagraph"/>
        <w:numPr>
          <w:ilvl w:val="0"/>
          <w:numId w:val="2"/>
        </w:numPr>
        <w:tabs>
          <w:tab w:val="left" w:pos="720"/>
        </w:tabs>
        <w:rPr>
          <w:rFonts w:ascii="Cambria" w:hAnsi="Cambria"/>
          <w:sz w:val="22"/>
        </w:rPr>
      </w:pPr>
      <w:r w:rsidRPr="007F7541">
        <w:rPr>
          <w:rFonts w:ascii="Cambria" w:hAnsi="Cambria"/>
          <w:sz w:val="22"/>
        </w:rPr>
        <w:t xml:space="preserve">John C. </w:t>
      </w:r>
      <w:proofErr w:type="spellStart"/>
      <w:r w:rsidRPr="007F7541">
        <w:rPr>
          <w:rFonts w:ascii="Cambria" w:hAnsi="Cambria"/>
          <w:sz w:val="22"/>
        </w:rPr>
        <w:t>Lyden</w:t>
      </w:r>
      <w:proofErr w:type="spellEnd"/>
      <w:r w:rsidRPr="007F7541">
        <w:rPr>
          <w:rFonts w:ascii="Cambria" w:hAnsi="Cambria"/>
          <w:sz w:val="22"/>
        </w:rPr>
        <w:t xml:space="preserve"> argues that popular films perform a religious function in our culture. Like more formal religious institutions, films can provide us with ways to view the world and values to confront it. </w:t>
      </w:r>
      <w:proofErr w:type="spellStart"/>
      <w:r w:rsidRPr="007F7541">
        <w:rPr>
          <w:rFonts w:ascii="Cambria" w:hAnsi="Cambria"/>
          <w:sz w:val="22"/>
        </w:rPr>
        <w:t>Lyden</w:t>
      </w:r>
      <w:proofErr w:type="spellEnd"/>
      <w:r w:rsidRPr="007F7541">
        <w:rPr>
          <w:rFonts w:ascii="Cambria" w:hAnsi="Cambria"/>
          <w:sz w:val="22"/>
        </w:rPr>
        <w:t xml:space="preserve"> contends that approaches which </w:t>
      </w:r>
      <w:r w:rsidRPr="007F7541">
        <w:rPr>
          <w:rFonts w:ascii="Cambria" w:hAnsi="Cambria"/>
          <w:sz w:val="22"/>
        </w:rPr>
        <w:lastRenderedPageBreak/>
        <w:t xml:space="preserve">interpret films only ideologically or theologically miss the mark in understanding their appeal to viewers. He develops an alternative method which shows how films can be understood as representing a “religious” worldview in their own right. In chapter one, </w:t>
      </w:r>
      <w:proofErr w:type="spellStart"/>
      <w:r w:rsidRPr="007F7541">
        <w:rPr>
          <w:rFonts w:ascii="Cambria" w:hAnsi="Cambria"/>
          <w:sz w:val="22"/>
        </w:rPr>
        <w:t>Lyden</w:t>
      </w:r>
      <w:proofErr w:type="spellEnd"/>
      <w:r w:rsidRPr="007F7541">
        <w:rPr>
          <w:rFonts w:ascii="Cambria" w:hAnsi="Cambria"/>
          <w:sz w:val="22"/>
        </w:rPr>
        <w:t xml:space="preserve"> surveys the state of the study of religion and film, offering an overview of previous methods before presenting his own. </w:t>
      </w:r>
    </w:p>
    <w:p w14:paraId="2DBBF686" w14:textId="77777777" w:rsidR="00616594" w:rsidRPr="007F7541" w:rsidRDefault="00616594" w:rsidP="00616594">
      <w:pPr>
        <w:tabs>
          <w:tab w:val="left" w:pos="720"/>
        </w:tabs>
        <w:spacing w:before="240"/>
        <w:rPr>
          <w:rFonts w:ascii="Cambria" w:hAnsi="Cambria"/>
        </w:rPr>
      </w:pPr>
    </w:p>
    <w:p w14:paraId="08437271" w14:textId="77777777" w:rsidR="00DA785B" w:rsidRDefault="00B50482"/>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10B1E"/>
    <w:multiLevelType w:val="hybridMultilevel"/>
    <w:tmpl w:val="AA8AEC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F53DE"/>
    <w:multiLevelType w:val="hybridMultilevel"/>
    <w:tmpl w:val="F2E00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1D4D2A"/>
    <w:multiLevelType w:val="hybridMultilevel"/>
    <w:tmpl w:val="35B2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94"/>
    <w:rsid w:val="00616594"/>
    <w:rsid w:val="007466F2"/>
    <w:rsid w:val="00A25F12"/>
    <w:rsid w:val="00A37DEF"/>
    <w:rsid w:val="00B50482"/>
    <w:rsid w:val="00F0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6CDB"/>
  <w15:chartTrackingRefBased/>
  <w15:docId w15:val="{B36BCD53-A8BD-4607-837A-DB197FCF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594"/>
    <w:pPr>
      <w:spacing w:after="0" w:line="240" w:lineRule="auto"/>
      <w:ind w:left="720"/>
      <w:contextualSpacing/>
    </w:pPr>
    <w:rPr>
      <w:rFonts w:ascii="Calibri" w:eastAsia="MS Mincho"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Allen, Lauren</cp:lastModifiedBy>
  <cp:revision>2</cp:revision>
  <dcterms:created xsi:type="dcterms:W3CDTF">2022-03-09T14:27:00Z</dcterms:created>
  <dcterms:modified xsi:type="dcterms:W3CDTF">2022-03-09T14:27:00Z</dcterms:modified>
</cp:coreProperties>
</file>